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9212"/>
      </w:tblGrid>
      <w:tr w:rsidR="00D0171C">
        <w:trPr>
          <w:trHeight w:val="106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BE2CD0" w:rsidRPr="00B22990" w:rsidRDefault="00BE2CD0" w:rsidP="00BE2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36"/>
              </w:rPr>
              <w:t xml:space="preserve">                     </w:t>
            </w:r>
            <w:r w:rsidR="00D0171C">
              <w:rPr>
                <w:rFonts w:ascii="Times New Roman" w:hAnsi="Times New Roman"/>
                <w:b/>
                <w:color w:val="FFFFFF"/>
                <w:sz w:val="36"/>
              </w:rPr>
              <w:t>RAPORT Z WIZYTACJI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WZÓR</w:t>
            </w:r>
          </w:p>
          <w:p w:rsidR="004B0117" w:rsidRDefault="00BE2CD0" w:rsidP="004B0117">
            <w:pPr>
              <w:pStyle w:val="Stopka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b/>
                <w:color w:val="FFFFFF"/>
                <w:sz w:val="36"/>
              </w:rPr>
            </w:pPr>
            <w:r w:rsidRPr="004B011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(ocena instytucjonalna)</w:t>
            </w:r>
          </w:p>
          <w:p w:rsidR="00D0171C" w:rsidRPr="004B0117" w:rsidRDefault="00D0171C" w:rsidP="004B0117">
            <w:pPr>
              <w:pStyle w:val="Stopka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b/>
                <w:color w:val="FFFFFF"/>
                <w:sz w:val="36"/>
              </w:rPr>
            </w:pPr>
          </w:p>
        </w:tc>
      </w:tr>
    </w:tbl>
    <w:p w:rsidR="00D0171C" w:rsidRPr="004B0117" w:rsidRDefault="004B0117" w:rsidP="00D0171C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</w:t>
      </w:r>
      <w:r w:rsidR="001845F8">
        <w:rPr>
          <w:rFonts w:ascii="Times New Roman" w:hAnsi="Times New Roman"/>
          <w:i/>
        </w:rPr>
        <w:t xml:space="preserve">                    </w:t>
      </w:r>
      <w:r w:rsidR="001845F8">
        <w:rPr>
          <w:rFonts w:ascii="Times New Roman" w:hAnsi="Times New Roman"/>
          <w:i/>
        </w:rPr>
        <w:tab/>
      </w:r>
      <w:r w:rsidR="001845F8">
        <w:rPr>
          <w:rFonts w:ascii="Times New Roman" w:hAnsi="Times New Roman"/>
          <w:i/>
        </w:rPr>
        <w:tab/>
        <w:t xml:space="preserve">        </w:t>
      </w:r>
      <w:r>
        <w:rPr>
          <w:rFonts w:ascii="Times New Roman" w:hAnsi="Times New Roman"/>
          <w:i/>
        </w:rPr>
        <w:t>Z</w:t>
      </w:r>
      <w:r w:rsidRPr="004B0117">
        <w:rPr>
          <w:rFonts w:ascii="Times New Roman" w:hAnsi="Times New Roman"/>
          <w:i/>
        </w:rPr>
        <w:t>ałącznik nr 1 do Uchwały Nr</w:t>
      </w:r>
      <w:r w:rsidR="00DA532F">
        <w:rPr>
          <w:rFonts w:ascii="Times New Roman" w:hAnsi="Times New Roman"/>
          <w:i/>
        </w:rPr>
        <w:t xml:space="preserve"> </w:t>
      </w:r>
      <w:r w:rsidR="008017CA">
        <w:rPr>
          <w:rFonts w:ascii="Times New Roman" w:hAnsi="Times New Roman"/>
          <w:i/>
        </w:rPr>
        <w:t>463</w:t>
      </w:r>
      <w:r w:rsidRPr="004B011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/201</w:t>
      </w:r>
      <w:r w:rsidR="001845F8">
        <w:rPr>
          <w:rFonts w:ascii="Times New Roman" w:hAnsi="Times New Roman"/>
          <w:i/>
        </w:rPr>
        <w:t>2</w:t>
      </w:r>
      <w:r w:rsidRPr="004B0117">
        <w:rPr>
          <w:rFonts w:ascii="Times New Roman" w:hAnsi="Times New Roman"/>
          <w:i/>
        </w:rPr>
        <w:t xml:space="preserve">  Prezydium</w:t>
      </w:r>
    </w:p>
    <w:p w:rsidR="00BE2CD0" w:rsidRDefault="004B0117" w:rsidP="00D0171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B0117">
        <w:rPr>
          <w:rFonts w:ascii="Times New Roman" w:hAnsi="Times New Roman"/>
          <w:i/>
          <w:sz w:val="24"/>
          <w:szCs w:val="24"/>
        </w:rPr>
        <w:tab/>
      </w:r>
      <w:r w:rsidRPr="004B011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</w:t>
      </w:r>
      <w:r w:rsidRPr="004B0117">
        <w:rPr>
          <w:rFonts w:ascii="Times New Roman" w:hAnsi="Times New Roman"/>
          <w:i/>
        </w:rPr>
        <w:t>Polskiej Komisji Akredytacyjnej</w:t>
      </w:r>
      <w:r w:rsidRPr="004B0117">
        <w:rPr>
          <w:rFonts w:ascii="Times New Roman" w:hAnsi="Times New Roman"/>
          <w:i/>
          <w:sz w:val="24"/>
          <w:szCs w:val="24"/>
        </w:rPr>
        <w:t xml:space="preserve"> z dnia </w:t>
      </w:r>
      <w:r w:rsidR="001845F8">
        <w:rPr>
          <w:rFonts w:ascii="Times New Roman" w:hAnsi="Times New Roman"/>
          <w:i/>
          <w:sz w:val="24"/>
          <w:szCs w:val="24"/>
        </w:rPr>
        <w:t>25 października 2012</w:t>
      </w:r>
      <w:r w:rsidRPr="004B0117">
        <w:rPr>
          <w:rFonts w:ascii="Times New Roman" w:hAnsi="Times New Roman"/>
          <w:i/>
          <w:sz w:val="24"/>
          <w:szCs w:val="24"/>
        </w:rPr>
        <w:t xml:space="preserve"> r.</w:t>
      </w:r>
    </w:p>
    <w:p w:rsidR="004B0117" w:rsidRPr="004B0117" w:rsidRDefault="004B0117" w:rsidP="00D0171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B0117">
        <w:rPr>
          <w:rFonts w:ascii="Times New Roman" w:hAnsi="Times New Roman"/>
          <w:i/>
          <w:sz w:val="24"/>
          <w:szCs w:val="24"/>
        </w:rPr>
        <w:tab/>
      </w:r>
    </w:p>
    <w:p w:rsidR="00D0171C" w:rsidRDefault="00D0171C" w:rsidP="00D01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na/w …………………………………………………………………………………………..</w:t>
      </w:r>
    </w:p>
    <w:p w:rsidR="00D0171C" w:rsidRDefault="00D0171C" w:rsidP="00D01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bscript"/>
        </w:rPr>
        <w:t xml:space="preserve">                                           nazwa podstawowej jednostki organizacyjnej oraz  uczelni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…………………………………………………………………………………………….</w:t>
      </w:r>
      <w:r>
        <w:rPr>
          <w:rFonts w:ascii="Times New Roman" w:hAnsi="Times New Roman"/>
          <w:b/>
          <w:sz w:val="24"/>
          <w:szCs w:val="24"/>
        </w:rPr>
        <w:tab/>
        <w:t>….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dokonanej w dniach…………………………………………………………………………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przez zespół oceniający Polskiej Komisji Akredytacyjnej </w:t>
      </w:r>
      <w:r w:rsidR="00B91606">
        <w:rPr>
          <w:rFonts w:ascii="Times New Roman" w:hAnsi="Times New Roman"/>
          <w:b/>
          <w:sz w:val="24"/>
          <w:szCs w:val="24"/>
        </w:rPr>
        <w:t>(PKA)</w:t>
      </w:r>
      <w:r>
        <w:rPr>
          <w:rFonts w:ascii="Times New Roman" w:hAnsi="Times New Roman"/>
          <w:b/>
          <w:sz w:val="24"/>
          <w:szCs w:val="24"/>
        </w:rPr>
        <w:t xml:space="preserve"> w składzie: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przewodniczący:……………………………..   członek PKA 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członkowie: 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…………………………..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…………………………..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wizytacji   i jej przebiegu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wskazać czy jest to pierwsza czy kolejna ocena (ocena, uchwała), wskazać jej przesłanki (własna inicjatywa PKA, wniosek ministra, wniosek uczelni).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1</w:t>
      </w:r>
      <w:r>
        <w:rPr>
          <w:rFonts w:ascii="Times New Roman" w:hAnsi="Times New Roman"/>
          <w:b/>
          <w:sz w:val="24"/>
          <w:szCs w:val="24"/>
        </w:rPr>
        <w:t xml:space="preserve">   Podstawa prawna wizytacji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2</w:t>
      </w:r>
      <w:r>
        <w:rPr>
          <w:rFonts w:ascii="Times New Roman" w:hAnsi="Times New Roman"/>
          <w:b/>
          <w:sz w:val="24"/>
          <w:szCs w:val="24"/>
        </w:rPr>
        <w:t xml:space="preserve">   Szczegółowy harmonogram przeprowadzonej wizytacji  </w:t>
      </w:r>
      <w:r>
        <w:rPr>
          <w:rFonts w:ascii="Times New Roman" w:hAnsi="Times New Roman"/>
          <w:sz w:val="24"/>
          <w:szCs w:val="24"/>
        </w:rPr>
        <w:t xml:space="preserve">uwzględniający podział zadań pomiędzy członków zespołu oceniającego. 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CD6" w:rsidRDefault="00140CD6" w:rsidP="00D0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CD6" w:rsidRDefault="00140CD6" w:rsidP="00D0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71C" w:rsidRDefault="00D0171C" w:rsidP="00D017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Strategia</w:t>
      </w:r>
      <w:r w:rsidR="0092591C">
        <w:rPr>
          <w:rFonts w:ascii="Times New Roman" w:hAnsi="Times New Roman"/>
          <w:b/>
          <w:sz w:val="24"/>
          <w:szCs w:val="24"/>
        </w:rPr>
        <w:t xml:space="preserve"> określona</w:t>
      </w:r>
      <w:r>
        <w:rPr>
          <w:rFonts w:ascii="Times New Roman" w:hAnsi="Times New Roman"/>
          <w:b/>
          <w:sz w:val="24"/>
          <w:szCs w:val="24"/>
        </w:rPr>
        <w:t xml:space="preserve"> przez jednostkę</w:t>
      </w:r>
      <w:r w:rsidR="00A26616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 w:rsidR="00CA6611">
        <w:rPr>
          <w:rFonts w:ascii="Times New Roman" w:hAnsi="Times New Roman"/>
          <w:b/>
          <w:sz w:val="24"/>
          <w:szCs w:val="24"/>
        </w:rPr>
        <w:t>.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91C" w:rsidRDefault="0092591C" w:rsidP="00A145B9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A145B9">
        <w:rPr>
          <w:sz w:val="24"/>
          <w:szCs w:val="24"/>
        </w:rPr>
        <w:t>Strategia rozwoju jednostki jest zbieżna z misją i strategią uczelni oraz uwzględnia politykę zapewniani</w:t>
      </w:r>
      <w:r w:rsidR="00F631E1">
        <w:rPr>
          <w:sz w:val="24"/>
          <w:szCs w:val="24"/>
        </w:rPr>
        <w:t>a wysokiej jakości kształcenia.</w:t>
      </w:r>
    </w:p>
    <w:p w:rsidR="0092591C" w:rsidRDefault="00CA6611" w:rsidP="00A145B9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92591C" w:rsidRPr="00A145B9">
        <w:rPr>
          <w:sz w:val="24"/>
          <w:szCs w:val="24"/>
        </w:rPr>
        <w:t xml:space="preserve">ednostka opracowała koncepcję kształcenia obejmującą studia I </w:t>
      </w:r>
      <w:proofErr w:type="spellStart"/>
      <w:r w:rsidR="0092591C" w:rsidRPr="00A145B9">
        <w:rPr>
          <w:sz w:val="24"/>
          <w:szCs w:val="24"/>
        </w:rPr>
        <w:t>i</w:t>
      </w:r>
      <w:proofErr w:type="spellEnd"/>
      <w:r w:rsidR="0092591C" w:rsidRPr="00A145B9">
        <w:rPr>
          <w:sz w:val="24"/>
          <w:szCs w:val="24"/>
        </w:rPr>
        <w:t xml:space="preserve"> II stopnia, studia doktoranckie i podyplomowe, zwane dalej „studiami”, spój</w:t>
      </w:r>
      <w:r w:rsidR="00F631E1">
        <w:rPr>
          <w:sz w:val="24"/>
          <w:szCs w:val="24"/>
        </w:rPr>
        <w:t>ną z jej celami strategicznymi.</w:t>
      </w:r>
    </w:p>
    <w:p w:rsidR="0092591C" w:rsidRDefault="00CA6611" w:rsidP="00A145B9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92591C" w:rsidRPr="00A145B9">
        <w:rPr>
          <w:sz w:val="24"/>
          <w:szCs w:val="24"/>
        </w:rPr>
        <w:t xml:space="preserve">ednostka identyfikuje swoją rolę i pozycję na rynku edukacyjnym, uwzględniając znaczenie </w:t>
      </w:r>
      <w:r w:rsidR="00F631E1">
        <w:rPr>
          <w:sz w:val="24"/>
          <w:szCs w:val="24"/>
        </w:rPr>
        <w:t>jakości kształcenia.</w:t>
      </w:r>
    </w:p>
    <w:p w:rsidR="0092591C" w:rsidRPr="00A145B9" w:rsidRDefault="00CA6611" w:rsidP="00A145B9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W</w:t>
      </w:r>
      <w:r w:rsidR="0092591C" w:rsidRPr="00A145B9">
        <w:rPr>
          <w:bCs/>
          <w:sz w:val="24"/>
          <w:szCs w:val="24"/>
        </w:rPr>
        <w:t>ewnętrzni i zewnętrzni interesariusze uczestniczą w procesie kształtowania oferty edukacyjnej jednostki oraz budowaniu wysokiej kultury jakości kształcenia.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5B9" w:rsidRPr="00A145B9" w:rsidRDefault="00A145B9" w:rsidP="00D017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145B9">
        <w:rPr>
          <w:rFonts w:ascii="Times New Roman" w:hAnsi="Times New Roman"/>
          <w:i/>
          <w:sz w:val="24"/>
          <w:szCs w:val="24"/>
        </w:rPr>
        <w:t>Komentarz:</w:t>
      </w:r>
    </w:p>
    <w:p w:rsidR="00D0171C" w:rsidRDefault="00CA6611" w:rsidP="00A145B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D0171C" w:rsidRPr="00A145B9">
        <w:rPr>
          <w:rFonts w:ascii="Times New Roman" w:hAnsi="Times New Roman"/>
          <w:i/>
          <w:sz w:val="24"/>
          <w:szCs w:val="24"/>
        </w:rPr>
        <w:t xml:space="preserve">cena zbieżności strategii działalności i rozwoju jednostki z misją i strategią Uczelni, </w:t>
      </w:r>
      <w:r w:rsidR="00D0171C" w:rsidRPr="00A145B9">
        <w:rPr>
          <w:rFonts w:ascii="Times New Roman" w:hAnsi="Times New Roman"/>
          <w:i/>
          <w:sz w:val="24"/>
          <w:szCs w:val="24"/>
        </w:rPr>
        <w:br/>
        <w:t xml:space="preserve">w szczególności w zakresie zapewnienia wysokiej jakości kształcenia i prowadzonych </w:t>
      </w:r>
      <w:r w:rsidR="00D0171C" w:rsidRPr="00A145B9">
        <w:rPr>
          <w:rFonts w:ascii="Times New Roman" w:hAnsi="Times New Roman"/>
          <w:i/>
          <w:sz w:val="24"/>
          <w:szCs w:val="24"/>
        </w:rPr>
        <w:lastRenderedPageBreak/>
        <w:t>badań naukowych, a także związku z potrzebami otoczenia społeczno-go</w:t>
      </w:r>
      <w:r w:rsidR="00A145B9">
        <w:rPr>
          <w:rFonts w:ascii="Times New Roman" w:hAnsi="Times New Roman"/>
          <w:i/>
          <w:sz w:val="24"/>
          <w:szCs w:val="24"/>
        </w:rPr>
        <w:t>spodarczego, w tym rynku pracy;</w:t>
      </w:r>
    </w:p>
    <w:p w:rsidR="00D0171C" w:rsidRDefault="00A145B9" w:rsidP="00A145B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D0171C" w:rsidRPr="00A145B9">
        <w:rPr>
          <w:rFonts w:ascii="Times New Roman" w:hAnsi="Times New Roman"/>
          <w:i/>
          <w:sz w:val="24"/>
          <w:szCs w:val="24"/>
        </w:rPr>
        <w:t>cena czy koncepcja kształcenia obejmuje wszystkie poziomy i rodzaje studiów. Ocena spójności koncepcji kształcenia i działalności naukowo-badawczej</w:t>
      </w:r>
      <w:r w:rsidR="00F34881">
        <w:rPr>
          <w:rStyle w:val="Odwoanieprzypisudolnego"/>
          <w:rFonts w:ascii="Times New Roman" w:hAnsi="Times New Roman"/>
          <w:i/>
          <w:sz w:val="24"/>
          <w:szCs w:val="24"/>
        </w:rPr>
        <w:footnoteReference w:id="2"/>
      </w:r>
      <w:r w:rsidR="002E549B" w:rsidRPr="00A145B9">
        <w:rPr>
          <w:rFonts w:ascii="Times New Roman" w:hAnsi="Times New Roman"/>
          <w:i/>
          <w:sz w:val="24"/>
          <w:szCs w:val="24"/>
        </w:rPr>
        <w:t xml:space="preserve"> </w:t>
      </w:r>
      <w:r w:rsidR="00D0171C" w:rsidRPr="00A145B9">
        <w:rPr>
          <w:rFonts w:ascii="Times New Roman" w:hAnsi="Times New Roman"/>
          <w:i/>
          <w:sz w:val="24"/>
          <w:szCs w:val="24"/>
        </w:rPr>
        <w:t xml:space="preserve">jednostki </w:t>
      </w:r>
      <w:r w:rsidR="00D0171C" w:rsidRPr="00A145B9">
        <w:rPr>
          <w:rFonts w:ascii="Times New Roman" w:hAnsi="Times New Roman"/>
          <w:i/>
          <w:sz w:val="24"/>
          <w:szCs w:val="24"/>
        </w:rPr>
        <w:br/>
        <w:t>z cela</w:t>
      </w:r>
      <w:r>
        <w:rPr>
          <w:rFonts w:ascii="Times New Roman" w:hAnsi="Times New Roman"/>
          <w:i/>
          <w:sz w:val="24"/>
          <w:szCs w:val="24"/>
        </w:rPr>
        <w:t>mi określonymi w jej strategii;</w:t>
      </w:r>
    </w:p>
    <w:p w:rsidR="00D0171C" w:rsidRDefault="00A145B9" w:rsidP="00A145B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D0171C" w:rsidRPr="00A145B9">
        <w:rPr>
          <w:rFonts w:ascii="Times New Roman" w:hAnsi="Times New Roman"/>
          <w:i/>
          <w:sz w:val="24"/>
          <w:szCs w:val="24"/>
        </w:rPr>
        <w:t>cena czy strategia oraz  kon</w:t>
      </w:r>
      <w:r w:rsidR="00F71564" w:rsidRPr="00A145B9">
        <w:rPr>
          <w:rFonts w:ascii="Times New Roman" w:hAnsi="Times New Roman"/>
          <w:i/>
          <w:sz w:val="24"/>
          <w:szCs w:val="24"/>
        </w:rPr>
        <w:t>cepcja kształcenia i działalność</w:t>
      </w:r>
      <w:r w:rsidR="00D0171C" w:rsidRPr="00A145B9">
        <w:rPr>
          <w:rFonts w:ascii="Times New Roman" w:hAnsi="Times New Roman"/>
          <w:i/>
          <w:sz w:val="24"/>
          <w:szCs w:val="24"/>
        </w:rPr>
        <w:t xml:space="preserve"> naukowo-badawcz</w:t>
      </w:r>
      <w:r w:rsidR="00F71564" w:rsidRPr="00A145B9">
        <w:rPr>
          <w:rFonts w:ascii="Times New Roman" w:hAnsi="Times New Roman"/>
          <w:i/>
          <w:sz w:val="24"/>
          <w:szCs w:val="24"/>
        </w:rPr>
        <w:t>a</w:t>
      </w:r>
      <w:r w:rsidR="00D0171C" w:rsidRPr="00A145B9">
        <w:rPr>
          <w:rFonts w:ascii="Times New Roman" w:hAnsi="Times New Roman"/>
          <w:i/>
          <w:sz w:val="24"/>
          <w:szCs w:val="24"/>
        </w:rPr>
        <w:t xml:space="preserve"> świadczą, iż jednostka identyfikuje swoją rolę i pozycję na rynku edukacyjnym, uwzględniając</w:t>
      </w:r>
      <w:r>
        <w:rPr>
          <w:rFonts w:ascii="Times New Roman" w:hAnsi="Times New Roman"/>
          <w:i/>
          <w:sz w:val="24"/>
          <w:szCs w:val="24"/>
        </w:rPr>
        <w:t xml:space="preserve"> znaczenie jakości kształcenia;</w:t>
      </w:r>
    </w:p>
    <w:p w:rsidR="00D0171C" w:rsidRPr="00A145B9" w:rsidRDefault="00A145B9" w:rsidP="00A145B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D0171C" w:rsidRPr="00A145B9">
        <w:rPr>
          <w:rFonts w:ascii="Times New Roman" w:hAnsi="Times New Roman"/>
          <w:i/>
          <w:sz w:val="24"/>
          <w:szCs w:val="24"/>
        </w:rPr>
        <w:t>cena roli</w:t>
      </w:r>
      <w:r w:rsidR="00D0171C" w:rsidRPr="00A145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0171C" w:rsidRPr="00A145B9">
        <w:rPr>
          <w:rFonts w:ascii="Times New Roman" w:hAnsi="Times New Roman"/>
          <w:i/>
          <w:sz w:val="24"/>
          <w:szCs w:val="24"/>
        </w:rPr>
        <w:t xml:space="preserve">interesariuszy wewnętrznych i zewnętrznych w formułowaniu  i realizacji strategii jednostki, w tym budowaniu wysokiej kultury jakości kształcenia. 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CD6" w:rsidRDefault="00140CD6" w:rsidP="00D0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5B9" w:rsidRDefault="00A145B9" w:rsidP="00A145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nr 1</w:t>
      </w:r>
      <w:r>
        <w:rPr>
          <w:rFonts w:ascii="Times New Roman" w:hAnsi="Times New Roman"/>
          <w:sz w:val="24"/>
          <w:szCs w:val="24"/>
        </w:rPr>
        <w:t xml:space="preserve">  Liczba osób kształcących się w Uczelni i ocenianej jednostce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28"/>
        <w:gridCol w:w="539"/>
        <w:gridCol w:w="709"/>
        <w:gridCol w:w="20"/>
        <w:gridCol w:w="729"/>
        <w:gridCol w:w="1260"/>
        <w:gridCol w:w="1260"/>
        <w:gridCol w:w="1080"/>
        <w:gridCol w:w="1260"/>
      </w:tblGrid>
      <w:tr w:rsidR="00B73BB7" w:rsidTr="00B73BB7">
        <w:trPr>
          <w:trHeight w:val="124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3BB7" w:rsidRDefault="00B73BB7" w:rsidP="00A14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kształcenia</w:t>
            </w: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3BB7" w:rsidRDefault="00B73BB7" w:rsidP="00A14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studentów</w:t>
            </w:r>
          </w:p>
          <w:p w:rsidR="00B73BB7" w:rsidRDefault="00B73BB7" w:rsidP="00A14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73BB7" w:rsidRDefault="00B73BB7" w:rsidP="00A14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uczestników studiów doktoranckich</w:t>
            </w:r>
          </w:p>
          <w:p w:rsidR="00B73BB7" w:rsidRDefault="00B73BB7" w:rsidP="00A14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73BB7" w:rsidRDefault="00B73BB7" w:rsidP="00A145B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słuchaczy studiów</w:t>
            </w:r>
          </w:p>
          <w:p w:rsidR="00B73BB7" w:rsidRDefault="00B73BB7" w:rsidP="00A145B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podyplomowych</w:t>
            </w:r>
          </w:p>
        </w:tc>
      </w:tr>
      <w:tr w:rsidR="00B73BB7" w:rsidTr="00B73BB7">
        <w:trPr>
          <w:trHeight w:val="16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BB7" w:rsidRDefault="00B73BB7" w:rsidP="00A14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3BB7" w:rsidRPr="00B73BB7" w:rsidRDefault="00CA6611" w:rsidP="00B73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B73BB7" w:rsidRPr="00B73BB7">
              <w:rPr>
                <w:rFonts w:ascii="Times New Roman" w:hAnsi="Times New Roman"/>
              </w:rPr>
              <w:t>czelni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3BB7" w:rsidRPr="00B73BB7" w:rsidRDefault="00B73BB7" w:rsidP="00B73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BB7">
              <w:rPr>
                <w:rFonts w:ascii="Times New Roman" w:hAnsi="Times New Roman"/>
              </w:rPr>
              <w:t>jednostki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B73BB7" w:rsidRPr="00B73BB7" w:rsidRDefault="00B73BB7" w:rsidP="00B73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BB7">
              <w:rPr>
                <w:rFonts w:ascii="Times New Roman" w:hAnsi="Times New Roman"/>
              </w:rPr>
              <w:t>uczelni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B73BB7" w:rsidRPr="00B73BB7" w:rsidRDefault="00B73BB7" w:rsidP="00B73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BB7">
              <w:rPr>
                <w:rFonts w:ascii="Times New Roman" w:hAnsi="Times New Roman"/>
              </w:rPr>
              <w:t>jednostki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3BB7" w:rsidRPr="00B73BB7" w:rsidRDefault="00B73BB7" w:rsidP="00B73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BB7">
              <w:rPr>
                <w:rFonts w:ascii="Times New Roman" w:hAnsi="Times New Roman"/>
              </w:rPr>
              <w:t>uczelni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3BB7" w:rsidRPr="00B73BB7" w:rsidRDefault="00B73BB7" w:rsidP="00B73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BB7">
              <w:rPr>
                <w:rFonts w:ascii="Times New Roman" w:hAnsi="Times New Roman"/>
              </w:rPr>
              <w:t>jednostki</w:t>
            </w:r>
          </w:p>
        </w:tc>
      </w:tr>
      <w:tr w:rsidR="00B73BB7" w:rsidTr="00B73BB7">
        <w:trPr>
          <w:trHeight w:val="16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B7" w:rsidRDefault="00B73BB7" w:rsidP="00A14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3BB7" w:rsidRPr="00B73BB7" w:rsidRDefault="00B73BB7" w:rsidP="00B73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BB7">
              <w:rPr>
                <w:rFonts w:ascii="Times New Roman" w:hAnsi="Times New Roman"/>
              </w:rPr>
              <w:t>I.</w:t>
            </w:r>
          </w:p>
          <w:p w:rsidR="00B73BB7" w:rsidRPr="00B73BB7" w:rsidRDefault="00B73BB7" w:rsidP="00B73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BB7">
              <w:rPr>
                <w:rFonts w:ascii="Times New Roman" w:hAnsi="Times New Roman"/>
              </w:rPr>
              <w:t>st.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3BB7" w:rsidRPr="00B73BB7" w:rsidRDefault="00B73BB7" w:rsidP="00B73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BB7">
              <w:rPr>
                <w:rFonts w:ascii="Times New Roman" w:hAnsi="Times New Roman"/>
              </w:rPr>
              <w:t>II. st.</w:t>
            </w:r>
            <w:r>
              <w:rPr>
                <w:rStyle w:val="Odwoanieprzypisudolnego"/>
                <w:rFonts w:ascii="Times New Roman" w:hAnsi="Times New Roman"/>
              </w:rPr>
              <w:footnoteReference w:id="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3BB7" w:rsidRDefault="00B73BB7" w:rsidP="00B73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BB7">
              <w:rPr>
                <w:rFonts w:ascii="Times New Roman" w:hAnsi="Times New Roman"/>
              </w:rPr>
              <w:t xml:space="preserve">I. </w:t>
            </w:r>
          </w:p>
          <w:p w:rsidR="00B73BB7" w:rsidRPr="00B73BB7" w:rsidRDefault="00B73BB7" w:rsidP="00B73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BB7">
              <w:rPr>
                <w:rFonts w:ascii="Times New Roman" w:hAnsi="Times New Roman"/>
              </w:rPr>
              <w:t>st.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3BB7" w:rsidRPr="00B73BB7" w:rsidRDefault="00B73BB7" w:rsidP="00B73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BB7">
              <w:rPr>
                <w:rFonts w:ascii="Times New Roman" w:hAnsi="Times New Roman"/>
              </w:rPr>
              <w:t>II</w:t>
            </w:r>
          </w:p>
          <w:p w:rsidR="00B73BB7" w:rsidRPr="00B73BB7" w:rsidRDefault="00B73BB7" w:rsidP="00B73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BB7">
              <w:rPr>
                <w:rFonts w:ascii="Times New Roman" w:hAnsi="Times New Roman"/>
              </w:rPr>
              <w:t>st</w:t>
            </w:r>
            <w:r>
              <w:rPr>
                <w:rFonts w:ascii="Times New Roman" w:hAnsi="Times New Roman"/>
              </w:rPr>
              <w:t xml:space="preserve">. </w:t>
            </w:r>
            <w:r w:rsidRPr="00B73BB7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3BB7" w:rsidRDefault="00B73BB7" w:rsidP="00A14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3BB7" w:rsidRDefault="00B73BB7" w:rsidP="00A14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3BB7" w:rsidRDefault="00B73BB7" w:rsidP="00A14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3BB7" w:rsidRDefault="00B73BB7" w:rsidP="00A14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BB7" w:rsidTr="00B73BB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3BB7" w:rsidRPr="00140CD6" w:rsidRDefault="00B73BB7" w:rsidP="00B7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studia stacjonarne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B7" w:rsidRDefault="00B73BB7" w:rsidP="00A14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B7" w:rsidRDefault="00B73BB7" w:rsidP="00A14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B7" w:rsidRDefault="00B73BB7" w:rsidP="00A14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B7" w:rsidRDefault="00B73BB7" w:rsidP="00A14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B7" w:rsidRDefault="00B73BB7" w:rsidP="00A14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B7" w:rsidRDefault="00B73BB7" w:rsidP="00A14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3BB7" w:rsidRDefault="00B73BB7" w:rsidP="00A14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B7" w:rsidRDefault="00B73BB7" w:rsidP="00A14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BB7" w:rsidTr="00B73BB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3BB7" w:rsidRPr="00140CD6" w:rsidRDefault="00CA6611" w:rsidP="00B73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B73BB7">
              <w:rPr>
                <w:rFonts w:ascii="Times New Roman" w:hAnsi="Times New Roman"/>
                <w:b/>
                <w:sz w:val="24"/>
                <w:szCs w:val="24"/>
              </w:rPr>
              <w:t xml:space="preserve">tudia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  <w:r w:rsidR="00B73BB7">
              <w:rPr>
                <w:rFonts w:ascii="Times New Roman" w:hAnsi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3BB7" w:rsidRDefault="00B73BB7" w:rsidP="00A14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3BB7" w:rsidRDefault="00B73BB7" w:rsidP="00A14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BB7" w:rsidRDefault="00B73BB7" w:rsidP="00A14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BB7" w:rsidRDefault="00B73BB7" w:rsidP="00A14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BB7" w:rsidRDefault="00B73BB7" w:rsidP="00A14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3BB7" w:rsidRDefault="00B73BB7" w:rsidP="00A14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B73BB7" w:rsidRDefault="00B73BB7" w:rsidP="00A14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3BB7" w:rsidRDefault="00B73BB7" w:rsidP="00A14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BB7" w:rsidTr="00B73BB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73BB7" w:rsidRDefault="00B73BB7" w:rsidP="00A14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B7" w:rsidRDefault="00B73BB7" w:rsidP="00A14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B7" w:rsidRDefault="00B73BB7" w:rsidP="00A14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B7" w:rsidRDefault="00B73BB7" w:rsidP="00A14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B7" w:rsidRDefault="00B73BB7" w:rsidP="00A14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B7" w:rsidRDefault="00B73BB7" w:rsidP="00A14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B7" w:rsidRDefault="00B73BB7" w:rsidP="00A14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3BB7" w:rsidRDefault="00B73BB7" w:rsidP="00A14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BB7" w:rsidRDefault="00B73BB7" w:rsidP="00A14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5B9" w:rsidRDefault="00A145B9" w:rsidP="00D0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 nr 3 </w:t>
      </w:r>
      <w:r>
        <w:rPr>
          <w:rFonts w:ascii="Times New Roman" w:hAnsi="Times New Roman"/>
          <w:b/>
          <w:sz w:val="24"/>
          <w:szCs w:val="24"/>
        </w:rPr>
        <w:t xml:space="preserve"> Informacja o kierunkach studiów prowadzonych w jednostce oraz wynikach dotychczasowych ocen  jakości kształcenia 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0CD6" w:rsidRPr="00B73BB7" w:rsidRDefault="00140CD6" w:rsidP="00B73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Ocena końcowa 1 </w:t>
      </w:r>
      <w:r>
        <w:rPr>
          <w:rFonts w:ascii="Times New Roman" w:hAnsi="Times New Roman"/>
          <w:b/>
          <w:i/>
          <w:sz w:val="24"/>
          <w:szCs w:val="24"/>
        </w:rPr>
        <w:t>kryterium ogólnego</w:t>
      </w:r>
      <w:r w:rsidR="00F34881">
        <w:rPr>
          <w:rStyle w:val="Odwoanieprzypisudolnego"/>
          <w:rFonts w:ascii="Times New Roman" w:hAnsi="Times New Roman"/>
          <w:b/>
          <w:i/>
          <w:sz w:val="24"/>
          <w:szCs w:val="24"/>
        </w:rPr>
        <w:footnoteReference w:id="4"/>
      </w:r>
      <w:r>
        <w:rPr>
          <w:rFonts w:ascii="Times New Roman" w:hAnsi="Times New Roman"/>
          <w:b/>
          <w:sz w:val="24"/>
          <w:szCs w:val="24"/>
        </w:rPr>
        <w:t xml:space="preserve">………… </w:t>
      </w:r>
    </w:p>
    <w:p w:rsidR="00D0171C" w:rsidRDefault="00D0171C" w:rsidP="00D0171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Syntetyczna ocena opisowa stopnia spełnienia </w:t>
      </w:r>
      <w:r>
        <w:rPr>
          <w:rFonts w:ascii="Times New Roman" w:hAnsi="Times New Roman"/>
          <w:b/>
          <w:i/>
          <w:sz w:val="24"/>
          <w:szCs w:val="24"/>
        </w:rPr>
        <w:t>kryteriów szczegółowych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1)…….</w:t>
      </w:r>
      <w:r w:rsidR="0092591C">
        <w:rPr>
          <w:rFonts w:ascii="Times New Roman" w:hAnsi="Times New Roman"/>
          <w:b/>
          <w:sz w:val="24"/>
          <w:szCs w:val="24"/>
        </w:rPr>
        <w:tab/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2)…….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3)…….</w:t>
      </w:r>
    </w:p>
    <w:p w:rsidR="00D0171C" w:rsidRDefault="00D0171C" w:rsidP="00D017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4)…….</w:t>
      </w:r>
    </w:p>
    <w:p w:rsidR="00140CD6" w:rsidRDefault="00140CD6" w:rsidP="00D0171C">
      <w:pPr>
        <w:jc w:val="both"/>
        <w:rPr>
          <w:rFonts w:ascii="Times New Roman" w:hAnsi="Times New Roman"/>
          <w:b/>
          <w:sz w:val="24"/>
          <w:szCs w:val="24"/>
        </w:rPr>
      </w:pPr>
    </w:p>
    <w:p w:rsidR="00C669B3" w:rsidRDefault="00C669B3" w:rsidP="00D0171C">
      <w:pPr>
        <w:jc w:val="both"/>
        <w:rPr>
          <w:rFonts w:ascii="Times New Roman" w:hAnsi="Times New Roman"/>
          <w:b/>
          <w:sz w:val="24"/>
          <w:szCs w:val="24"/>
        </w:rPr>
      </w:pPr>
    </w:p>
    <w:p w:rsidR="00D0171C" w:rsidRDefault="00D0171C" w:rsidP="00D017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Skuteczność stosowanego wewnętrznego  systemu zapewnienia jakości kształcenia</w:t>
      </w:r>
      <w:r w:rsidR="00CA6611">
        <w:rPr>
          <w:rFonts w:ascii="Times New Roman" w:hAnsi="Times New Roman"/>
          <w:b/>
          <w:sz w:val="24"/>
          <w:szCs w:val="24"/>
        </w:rPr>
        <w:t>.</w:t>
      </w:r>
    </w:p>
    <w:p w:rsidR="0092591C" w:rsidRDefault="0092591C" w:rsidP="00F348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F34881">
        <w:rPr>
          <w:sz w:val="24"/>
          <w:szCs w:val="24"/>
        </w:rPr>
        <w:t>Struktura podejmowania  decyzji w zarządzaniu jakością jest przejrzysta</w:t>
      </w:r>
      <w:r w:rsidR="00F34881">
        <w:rPr>
          <w:sz w:val="24"/>
          <w:szCs w:val="24"/>
        </w:rPr>
        <w:t xml:space="preserve"> </w:t>
      </w:r>
      <w:r w:rsidRPr="00F34881">
        <w:rPr>
          <w:sz w:val="24"/>
          <w:szCs w:val="24"/>
        </w:rPr>
        <w:t>i zapewnia udział pracowników, studentów, doktorantów, słuchaczy oraz interesariuszy zewnętrznych w podejmowaniu istotnych decyzji dotyczących jakości kształcenia</w:t>
      </w:r>
      <w:r w:rsidR="00F631E1">
        <w:rPr>
          <w:sz w:val="24"/>
          <w:szCs w:val="24"/>
        </w:rPr>
        <w:t>.</w:t>
      </w:r>
    </w:p>
    <w:p w:rsidR="0092591C" w:rsidRPr="00F34881" w:rsidRDefault="00CA6611" w:rsidP="00F348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2591C" w:rsidRPr="00F34881">
        <w:rPr>
          <w:sz w:val="24"/>
          <w:szCs w:val="24"/>
        </w:rPr>
        <w:t>ewnętrzne procedury zapewnienia jakości kształcenia mają charakter kompleksowy, przeciwdziałają powstawaniu zjawisk patologicznych i zapewniają weryfikację i ocenę efektywności wszystkich czynników wpływających na jakość kształcenia, a w szczególności umożliwiają:</w:t>
      </w:r>
    </w:p>
    <w:p w:rsidR="0092591C" w:rsidRDefault="0092591C" w:rsidP="00F348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F34881">
        <w:rPr>
          <w:sz w:val="24"/>
          <w:szCs w:val="24"/>
        </w:rPr>
        <w:t>ocenę stopnia realizacji efektów kształcenia, zdefiniowanych dla     prowadzonych przez jednostkę studiów,</w:t>
      </w:r>
    </w:p>
    <w:p w:rsidR="0092591C" w:rsidRDefault="0092591C" w:rsidP="00F348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F34881">
        <w:rPr>
          <w:sz w:val="24"/>
          <w:szCs w:val="24"/>
        </w:rPr>
        <w:t>udział pracodawców i innych przedstawicieli rynku pracy w określaniu                    i ocenie efektów kształcenia,</w:t>
      </w:r>
    </w:p>
    <w:p w:rsidR="0092591C" w:rsidRDefault="0092591C" w:rsidP="00F348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F34881">
        <w:rPr>
          <w:sz w:val="24"/>
          <w:szCs w:val="24"/>
        </w:rPr>
        <w:t>monitorowanie losów absolwentów w celu oceny efektów kształcenia na  rynku pracy,</w:t>
      </w:r>
    </w:p>
    <w:p w:rsidR="0092591C" w:rsidRDefault="0092591C" w:rsidP="00F348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F34881">
        <w:rPr>
          <w:sz w:val="24"/>
          <w:szCs w:val="24"/>
        </w:rPr>
        <w:t>monitorowanie i okresowe przeglądy programów kształcenia,</w:t>
      </w:r>
    </w:p>
    <w:p w:rsidR="0092591C" w:rsidRDefault="0092591C" w:rsidP="00F348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F34881">
        <w:rPr>
          <w:sz w:val="24"/>
          <w:szCs w:val="24"/>
        </w:rPr>
        <w:t>ocenę zasad oceniania studentów, doktorantów i słuchaczy oraz weryfikację   efektów ich kształcenia,</w:t>
      </w:r>
    </w:p>
    <w:p w:rsidR="0092591C" w:rsidRDefault="0092591C" w:rsidP="00F348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F34881">
        <w:rPr>
          <w:sz w:val="24"/>
          <w:szCs w:val="24"/>
        </w:rPr>
        <w:t>ocenę jakości kadry prowadzącej i wspierającej proces kształcenia, w tym także przez studentów, doktorantów i słuchaczy,  oraz realizowanej polityki kadrowej,</w:t>
      </w:r>
    </w:p>
    <w:p w:rsidR="0092591C" w:rsidRDefault="0092591C" w:rsidP="00F348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F34881">
        <w:rPr>
          <w:sz w:val="24"/>
          <w:szCs w:val="24"/>
        </w:rPr>
        <w:t>ocenę poziomu naukowego jednostki,</w:t>
      </w:r>
    </w:p>
    <w:p w:rsidR="0092591C" w:rsidRDefault="0092591C" w:rsidP="00F348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F34881">
        <w:rPr>
          <w:sz w:val="24"/>
          <w:szCs w:val="24"/>
        </w:rPr>
        <w:t>ocenę zasobów materialnych, w tym infrastrukturę dydaktyczną i naukową,            a także środki wsparcia dla studentów,</w:t>
      </w:r>
    </w:p>
    <w:p w:rsidR="0092591C" w:rsidRDefault="0092591C" w:rsidP="00F348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F34881">
        <w:rPr>
          <w:sz w:val="24"/>
          <w:szCs w:val="24"/>
        </w:rPr>
        <w:t>funkcjonowanie systemu informacyjnego, tj. sposobu gromadzenia, analizowania i wykorzystywania stosownych informacji w zapewnieniu jakości kształcenia,</w:t>
      </w:r>
    </w:p>
    <w:p w:rsidR="0092591C" w:rsidRDefault="0092591C" w:rsidP="00F348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F34881">
        <w:rPr>
          <w:sz w:val="24"/>
          <w:szCs w:val="24"/>
        </w:rPr>
        <w:t>publiczny dostęp do aktualnych i obiektywnie przedstawionych  informacji               o programach studiów, zakładanych efektach kształcenia, organizacji                           i procedurach toku studiów,</w:t>
      </w:r>
    </w:p>
    <w:p w:rsidR="0092591C" w:rsidRPr="009C7E2A" w:rsidRDefault="00CA6611" w:rsidP="009C7E2A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92591C" w:rsidRPr="009C7E2A">
        <w:rPr>
          <w:sz w:val="24"/>
          <w:szCs w:val="24"/>
        </w:rPr>
        <w:t xml:space="preserve">ednostka dokonuje systematycznej oceny efektywności wewnętrznego systemu zapewniania jakości, a jej wyniki wykorzystuje do doskonalenia polityki zapewniania jakości i budowy kultury jakości kształcenia. </w:t>
      </w:r>
    </w:p>
    <w:p w:rsidR="0092591C" w:rsidRDefault="0092591C" w:rsidP="00A14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881" w:rsidRPr="00F34881" w:rsidRDefault="00F34881" w:rsidP="00A145B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4881">
        <w:rPr>
          <w:rFonts w:ascii="Times New Roman" w:hAnsi="Times New Roman"/>
          <w:i/>
          <w:sz w:val="24"/>
          <w:szCs w:val="24"/>
        </w:rPr>
        <w:t>Komentarz:</w:t>
      </w:r>
    </w:p>
    <w:p w:rsidR="00D0171C" w:rsidRDefault="00CA6611" w:rsidP="00F3488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D0171C" w:rsidRPr="00F34881">
        <w:rPr>
          <w:rFonts w:ascii="Times New Roman" w:hAnsi="Times New Roman"/>
          <w:i/>
          <w:sz w:val="24"/>
          <w:szCs w:val="24"/>
        </w:rPr>
        <w:t>cena struktury systemu, podziału kompetencji i odpowiedzialnośc</w:t>
      </w:r>
      <w:r w:rsidR="00F34881">
        <w:rPr>
          <w:rFonts w:ascii="Times New Roman" w:hAnsi="Times New Roman"/>
          <w:i/>
          <w:sz w:val="24"/>
          <w:szCs w:val="24"/>
        </w:rPr>
        <w:t xml:space="preserve">i. Ocena przejrzystości </w:t>
      </w:r>
      <w:r w:rsidR="00D0171C" w:rsidRPr="00F34881">
        <w:rPr>
          <w:rFonts w:ascii="Times New Roman" w:hAnsi="Times New Roman"/>
          <w:i/>
          <w:sz w:val="24"/>
          <w:szCs w:val="24"/>
        </w:rPr>
        <w:t>i efektywności struktury decyzyjnej w obszarze zarządzania jakością</w:t>
      </w:r>
      <w:r w:rsidR="00C46700" w:rsidRPr="00F34881">
        <w:rPr>
          <w:rFonts w:ascii="Times New Roman" w:hAnsi="Times New Roman"/>
          <w:i/>
          <w:sz w:val="24"/>
          <w:szCs w:val="24"/>
        </w:rPr>
        <w:t xml:space="preserve">, </w:t>
      </w:r>
      <w:r w:rsidR="00F34881">
        <w:rPr>
          <w:rFonts w:ascii="Times New Roman" w:hAnsi="Times New Roman"/>
          <w:i/>
          <w:sz w:val="24"/>
          <w:szCs w:val="24"/>
        </w:rPr>
        <w:t xml:space="preserve">prawidłowości </w:t>
      </w:r>
      <w:r w:rsidR="00D0171C" w:rsidRPr="00F34881">
        <w:rPr>
          <w:rFonts w:ascii="Times New Roman" w:hAnsi="Times New Roman"/>
          <w:i/>
          <w:sz w:val="24"/>
          <w:szCs w:val="24"/>
        </w:rPr>
        <w:t>i sku</w:t>
      </w:r>
      <w:r w:rsidR="00C46700" w:rsidRPr="00F34881">
        <w:rPr>
          <w:rFonts w:ascii="Times New Roman" w:hAnsi="Times New Roman"/>
          <w:i/>
          <w:sz w:val="24"/>
          <w:szCs w:val="24"/>
        </w:rPr>
        <w:t>teczności podejmowanych działań</w:t>
      </w:r>
      <w:r w:rsidR="00D0171C" w:rsidRPr="00F34881">
        <w:rPr>
          <w:rFonts w:ascii="Times New Roman" w:hAnsi="Times New Roman"/>
          <w:i/>
          <w:sz w:val="24"/>
          <w:szCs w:val="24"/>
        </w:rPr>
        <w:t xml:space="preserve"> oraz wpły</w:t>
      </w:r>
      <w:r w:rsidR="00F34881">
        <w:rPr>
          <w:rFonts w:ascii="Times New Roman" w:hAnsi="Times New Roman"/>
          <w:i/>
          <w:sz w:val="24"/>
          <w:szCs w:val="24"/>
        </w:rPr>
        <w:t xml:space="preserve">wu interesariuszy wewnętrznych </w:t>
      </w:r>
      <w:r w:rsidR="00D0171C" w:rsidRPr="00F34881">
        <w:rPr>
          <w:rFonts w:ascii="Times New Roman" w:hAnsi="Times New Roman"/>
          <w:i/>
          <w:sz w:val="24"/>
          <w:szCs w:val="24"/>
        </w:rPr>
        <w:t xml:space="preserve">i zewnętrznych na decyzje podejmowane w zakresie zapewnienia jakości </w:t>
      </w:r>
      <w:r w:rsidR="00F34881">
        <w:rPr>
          <w:rFonts w:ascii="Times New Roman" w:hAnsi="Times New Roman"/>
          <w:i/>
          <w:sz w:val="24"/>
          <w:szCs w:val="24"/>
        </w:rPr>
        <w:t>kształcenia;</w:t>
      </w:r>
    </w:p>
    <w:p w:rsidR="00D0171C" w:rsidRDefault="00F34881" w:rsidP="00F3488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D0171C" w:rsidRPr="00F34881">
        <w:rPr>
          <w:rFonts w:ascii="Times New Roman" w:hAnsi="Times New Roman"/>
          <w:i/>
          <w:sz w:val="24"/>
          <w:szCs w:val="24"/>
        </w:rPr>
        <w:t xml:space="preserve">cena kompleksowości systemu - czy obejmuje wszystkie prowadzone w jednostce rodzaje studiów: I-II stopnia, w tym indywidualne </w:t>
      </w:r>
      <w:proofErr w:type="spellStart"/>
      <w:r w:rsidR="00D0171C" w:rsidRPr="00F34881">
        <w:rPr>
          <w:rFonts w:ascii="Times New Roman" w:hAnsi="Times New Roman"/>
          <w:i/>
          <w:sz w:val="24"/>
          <w:szCs w:val="24"/>
        </w:rPr>
        <w:t>międzyobszarowe</w:t>
      </w:r>
      <w:proofErr w:type="spellEnd"/>
      <w:r w:rsidR="00D0171C" w:rsidRPr="00F34881">
        <w:rPr>
          <w:rFonts w:ascii="Times New Roman" w:hAnsi="Times New Roman"/>
          <w:i/>
          <w:sz w:val="24"/>
          <w:szCs w:val="24"/>
        </w:rPr>
        <w:t>, III stopnia (doktoranckie), podyplomowe, oraz uwzględnia wszystkie czynniki mające wpływ na j</w:t>
      </w:r>
      <w:r>
        <w:rPr>
          <w:rFonts w:ascii="Times New Roman" w:hAnsi="Times New Roman"/>
          <w:i/>
          <w:sz w:val="24"/>
          <w:szCs w:val="24"/>
        </w:rPr>
        <w:t>akość kształcenia;</w:t>
      </w:r>
    </w:p>
    <w:p w:rsidR="00D0171C" w:rsidRPr="00F34881" w:rsidRDefault="00F34881" w:rsidP="00F3488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D0171C" w:rsidRPr="00F34881">
        <w:rPr>
          <w:rFonts w:ascii="Times New Roman" w:hAnsi="Times New Roman"/>
          <w:i/>
          <w:sz w:val="24"/>
          <w:szCs w:val="24"/>
        </w:rPr>
        <w:t>cena funkcjonowania systemu zapewnienia jakości kształcenia tj.:</w:t>
      </w:r>
    </w:p>
    <w:p w:rsidR="00F34881" w:rsidRDefault="00D0171C" w:rsidP="00F34881">
      <w:pPr>
        <w:pStyle w:val="Akapitzlist1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4881">
        <w:rPr>
          <w:rFonts w:ascii="Times New Roman" w:hAnsi="Times New Roman"/>
          <w:i/>
          <w:sz w:val="24"/>
          <w:szCs w:val="24"/>
        </w:rPr>
        <w:lastRenderedPageBreak/>
        <w:t>doboru procedur i narzędzi służących do badania poszczególnych czynników mających wpływ na jakość kształcenia, kryteriów i metod oceny, a także  prawidłowości  sekwencji procedur i ich  przeprowadzania,</w:t>
      </w:r>
    </w:p>
    <w:p w:rsidR="00F34881" w:rsidRDefault="00D0171C" w:rsidP="002E549B">
      <w:pPr>
        <w:pStyle w:val="Akapitzlist1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4881">
        <w:rPr>
          <w:rFonts w:ascii="Times New Roman" w:hAnsi="Times New Roman"/>
          <w:i/>
          <w:sz w:val="24"/>
          <w:szCs w:val="24"/>
        </w:rPr>
        <w:t xml:space="preserve">  metod analizy otrzymanych wyników, formułowanych ocen oraz planowania i realizacji  działań w celu poprawy jakości kształcenia,</w:t>
      </w:r>
    </w:p>
    <w:p w:rsidR="00D0171C" w:rsidRDefault="00D0171C" w:rsidP="00F34881">
      <w:pPr>
        <w:pStyle w:val="Akapitzlist1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4881">
        <w:rPr>
          <w:rFonts w:ascii="Times New Roman" w:hAnsi="Times New Roman"/>
          <w:i/>
          <w:sz w:val="24"/>
          <w:szCs w:val="24"/>
        </w:rPr>
        <w:t xml:space="preserve">mechanizmów weryfikacji wyników przeprowadzonych działań korygujących,  naprawczych i doskonalących, </w:t>
      </w:r>
    </w:p>
    <w:p w:rsidR="00D0171C" w:rsidRDefault="00D0171C" w:rsidP="003E5190">
      <w:pPr>
        <w:pStyle w:val="Akapitzlist1"/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F34881">
        <w:rPr>
          <w:rFonts w:ascii="Times New Roman" w:hAnsi="Times New Roman"/>
          <w:i/>
          <w:sz w:val="24"/>
          <w:szCs w:val="24"/>
        </w:rPr>
        <w:t>w odniesieniu do</w:t>
      </w:r>
      <w:r w:rsidR="0092591C" w:rsidRPr="00F34881">
        <w:rPr>
          <w:rFonts w:ascii="Times New Roman" w:hAnsi="Times New Roman"/>
          <w:i/>
          <w:sz w:val="24"/>
          <w:szCs w:val="24"/>
        </w:rPr>
        <w:t xml:space="preserve"> czyn</w:t>
      </w:r>
      <w:r w:rsidR="00DF3B7F">
        <w:rPr>
          <w:rFonts w:ascii="Times New Roman" w:hAnsi="Times New Roman"/>
          <w:i/>
          <w:sz w:val="24"/>
          <w:szCs w:val="24"/>
        </w:rPr>
        <w:t xml:space="preserve">ników ujętych w pkt 2 lit. a </w:t>
      </w:r>
      <w:r w:rsidR="00CA6611">
        <w:rPr>
          <w:rFonts w:ascii="Times New Roman" w:hAnsi="Times New Roman"/>
          <w:i/>
          <w:sz w:val="24"/>
          <w:szCs w:val="24"/>
        </w:rPr>
        <w:t>–</w:t>
      </w:r>
      <w:r w:rsidR="00DF3B7F">
        <w:rPr>
          <w:rFonts w:ascii="Times New Roman" w:hAnsi="Times New Roman"/>
          <w:i/>
          <w:sz w:val="24"/>
          <w:szCs w:val="24"/>
        </w:rPr>
        <w:t xml:space="preserve"> </w:t>
      </w:r>
      <w:r w:rsidR="00A26616">
        <w:rPr>
          <w:rFonts w:ascii="Times New Roman" w:hAnsi="Times New Roman"/>
          <w:i/>
          <w:sz w:val="24"/>
          <w:szCs w:val="24"/>
        </w:rPr>
        <w:t>j</w:t>
      </w:r>
      <w:r w:rsidR="00CA6611">
        <w:rPr>
          <w:rFonts w:ascii="Times New Roman" w:hAnsi="Times New Roman"/>
          <w:i/>
          <w:sz w:val="24"/>
          <w:szCs w:val="24"/>
        </w:rPr>
        <w:t>;</w:t>
      </w:r>
    </w:p>
    <w:p w:rsidR="00F34881" w:rsidRPr="00456DE7" w:rsidRDefault="00F34881" w:rsidP="00456DE7">
      <w:pPr>
        <w:pStyle w:val="Akapitzlist1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456DE7">
        <w:rPr>
          <w:rFonts w:ascii="Times New Roman" w:hAnsi="Times New Roman"/>
          <w:i/>
          <w:sz w:val="24"/>
          <w:szCs w:val="24"/>
        </w:rPr>
        <w:t>ocena mechanizmów wewnętrznego systemu zapewnienia jakości kształcenia stosowanych w celu zapobiegania i el</w:t>
      </w:r>
      <w:r w:rsidR="00CA6611">
        <w:rPr>
          <w:rFonts w:ascii="Times New Roman" w:hAnsi="Times New Roman"/>
          <w:i/>
          <w:sz w:val="24"/>
          <w:szCs w:val="24"/>
        </w:rPr>
        <w:t>iminacji zjawisk patologicznych;</w:t>
      </w:r>
    </w:p>
    <w:p w:rsidR="00456DE7" w:rsidRPr="00456DE7" w:rsidRDefault="00456DE7" w:rsidP="00456DE7">
      <w:pPr>
        <w:pStyle w:val="Akapitzlist1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456DE7">
        <w:rPr>
          <w:rFonts w:ascii="Times New Roman" w:hAnsi="Times New Roman"/>
          <w:i/>
          <w:sz w:val="24"/>
          <w:szCs w:val="24"/>
        </w:rPr>
        <w:t>ocena efektywności wewnętrznego  systemu za</w:t>
      </w:r>
      <w:r>
        <w:rPr>
          <w:rFonts w:ascii="Times New Roman" w:hAnsi="Times New Roman"/>
          <w:i/>
          <w:sz w:val="24"/>
          <w:szCs w:val="24"/>
        </w:rPr>
        <w:t>pewnienia jakości kształcenia w </w:t>
      </w:r>
      <w:r w:rsidRPr="00456DE7">
        <w:rPr>
          <w:rFonts w:ascii="Times New Roman" w:hAnsi="Times New Roman"/>
          <w:i/>
          <w:sz w:val="24"/>
          <w:szCs w:val="24"/>
        </w:rPr>
        <w:t>badaniu przez jednostkę jakości kształcenia prowadzonego na poszczególnych kierunkach studiów,  studiach doktoranckich i podyplomowych, przeprowadzania weryfikacji i oceny działań naprawczych.</w:t>
      </w:r>
    </w:p>
    <w:p w:rsidR="00456DE7" w:rsidRPr="00456DE7" w:rsidRDefault="00456DE7" w:rsidP="00456DE7">
      <w:pPr>
        <w:pStyle w:val="Akapitzlist1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456DE7">
        <w:rPr>
          <w:rFonts w:ascii="Times New Roman" w:hAnsi="Times New Roman"/>
          <w:i/>
          <w:sz w:val="24"/>
          <w:szCs w:val="24"/>
        </w:rPr>
        <w:t>ocena skuteczności sposobów monitorowania wewnętrznego systemu zapewnienia jakości kształcenia, częstotliwości i wyników przeglądów procedur, prawidłowości doboru metod i narzędzi</w:t>
      </w:r>
      <w:r w:rsidRPr="00456DE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6DE7">
        <w:rPr>
          <w:rFonts w:ascii="Times New Roman" w:hAnsi="Times New Roman"/>
          <w:i/>
          <w:sz w:val="24"/>
          <w:szCs w:val="24"/>
        </w:rPr>
        <w:t>przeprowadzania oceny danego czynnika w celu zwiększenia ich efektywności. Ocena efektywności mechanizmów i wyników ocen  doskonalenia tego systemu</w:t>
      </w:r>
      <w:r w:rsidR="00CA6611">
        <w:rPr>
          <w:rFonts w:ascii="Times New Roman" w:hAnsi="Times New Roman"/>
          <w:i/>
          <w:sz w:val="24"/>
          <w:szCs w:val="24"/>
        </w:rPr>
        <w:t>;</w:t>
      </w:r>
    </w:p>
    <w:p w:rsidR="00456DE7" w:rsidRPr="00456DE7" w:rsidRDefault="00456DE7" w:rsidP="00456DE7">
      <w:pPr>
        <w:pStyle w:val="Akapitzlist1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456DE7">
        <w:rPr>
          <w:rFonts w:ascii="Times New Roman" w:hAnsi="Times New Roman"/>
          <w:i/>
          <w:sz w:val="24"/>
          <w:szCs w:val="24"/>
        </w:rPr>
        <w:t xml:space="preserve">ocena wpływu/stopnia wykorzystania wyników ocen jakości kształcenia dokonanych przez krajowe i zagraniczne instytucje akredytacyjne, w tym PKA, w procesie  doskonalenia jakości prowadzonego kształcenia oraz weryfikacji prawidłowości funkcjonowania systemu zapewnienia jakości kształcenia w jednostce.  Informacja o zakresie zaleceń sformułowanych przez te instytucje i efektach związanych z nimi  działań przeprowadzonych przez Uczelnię/jednostkę – okres 5 lat poprzedzających ocenę instytucjonalną lub ostatnią dokonaną ocenę, jeśli odbyła się wcześniej.  Ocena stopnia objęcia obszarów wskazanych w zaleceniach działaniami naprawczymi i ich weryfikacja w wewnętrznym systemie zapewnienia  jakości kształcenia. </w:t>
      </w:r>
    </w:p>
    <w:p w:rsidR="00456DE7" w:rsidRPr="00F34881" w:rsidRDefault="00456DE7" w:rsidP="00456DE7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D0171C" w:rsidRPr="00F34881" w:rsidRDefault="00D0171C" w:rsidP="00D0171C">
      <w:pPr>
        <w:pStyle w:val="Akapitzlist1"/>
        <w:spacing w:before="120"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D0171C" w:rsidRDefault="00D0171C" w:rsidP="00140CD6">
      <w:pPr>
        <w:pStyle w:val="Akapitzlist1"/>
        <w:spacing w:before="12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  nr  </w:t>
      </w:r>
      <w:r w:rsidR="00140CD6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 Funkcjonowanie wewnętrznego  systemu zapewnienia jakości kształcenia </w:t>
      </w:r>
    </w:p>
    <w:p w:rsidR="000E0414" w:rsidRDefault="000E0414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Ocena końcowa 2 </w:t>
      </w:r>
      <w:r>
        <w:rPr>
          <w:rFonts w:ascii="Times New Roman" w:hAnsi="Times New Roman"/>
          <w:b/>
          <w:i/>
          <w:sz w:val="24"/>
          <w:szCs w:val="24"/>
        </w:rPr>
        <w:t xml:space="preserve">kryterium </w:t>
      </w:r>
      <w:r w:rsidRPr="00C669B3">
        <w:rPr>
          <w:rFonts w:ascii="Times New Roman" w:hAnsi="Times New Roman"/>
          <w:b/>
          <w:i/>
          <w:sz w:val="24"/>
          <w:szCs w:val="24"/>
        </w:rPr>
        <w:t>ogólnego</w:t>
      </w:r>
      <w:r w:rsidR="00C669B3"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Pr="00C669B3">
        <w:rPr>
          <w:rFonts w:ascii="Times New Roman" w:hAnsi="Times New Roman"/>
          <w:b/>
          <w:sz w:val="24"/>
          <w:szCs w:val="24"/>
        </w:rPr>
        <w:t xml:space="preserve"> …</w:t>
      </w:r>
      <w:r>
        <w:rPr>
          <w:rFonts w:ascii="Times New Roman" w:hAnsi="Times New Roman"/>
          <w:b/>
          <w:sz w:val="24"/>
          <w:szCs w:val="24"/>
        </w:rPr>
        <w:t xml:space="preserve">……… </w:t>
      </w:r>
    </w:p>
    <w:p w:rsidR="00D0171C" w:rsidRDefault="00D0171C" w:rsidP="00D0171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Syntetyczna ocena opisowa stopnia spełnienia </w:t>
      </w:r>
      <w:r>
        <w:rPr>
          <w:rFonts w:ascii="Times New Roman" w:hAnsi="Times New Roman"/>
          <w:b/>
          <w:i/>
          <w:sz w:val="24"/>
          <w:szCs w:val="24"/>
        </w:rPr>
        <w:t>kryteriów szczegółowych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1)…….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…….   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3)…….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0CD6" w:rsidRDefault="00140CD6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71C" w:rsidRDefault="000E0414" w:rsidP="004D3423">
      <w:pPr>
        <w:spacing w:after="0" w:line="240" w:lineRule="auto"/>
        <w:ind w:left="-181" w:right="-1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890D50">
        <w:rPr>
          <w:rFonts w:ascii="Times New Roman" w:hAnsi="Times New Roman"/>
          <w:b/>
          <w:sz w:val="24"/>
          <w:szCs w:val="24"/>
        </w:rPr>
        <w:t xml:space="preserve">Spójność stosowanego w jednostce opisu celów i efektów kształcenia na oferowanych studiach doktoranckich i podyplomowych oraz sprawność i wiarygodność systemu </w:t>
      </w:r>
      <w:r w:rsidR="004D3423">
        <w:rPr>
          <w:rFonts w:ascii="Times New Roman" w:hAnsi="Times New Roman"/>
          <w:b/>
          <w:sz w:val="24"/>
          <w:szCs w:val="24"/>
        </w:rPr>
        <w:t>weryfikującego</w:t>
      </w:r>
      <w:r w:rsidR="00890D50">
        <w:rPr>
          <w:rFonts w:ascii="Times New Roman" w:hAnsi="Times New Roman"/>
          <w:b/>
          <w:sz w:val="24"/>
          <w:szCs w:val="24"/>
        </w:rPr>
        <w:t xml:space="preserve"> i </w:t>
      </w:r>
      <w:r w:rsidR="004D3423">
        <w:rPr>
          <w:rFonts w:ascii="Times New Roman" w:hAnsi="Times New Roman"/>
          <w:b/>
          <w:sz w:val="24"/>
          <w:szCs w:val="24"/>
        </w:rPr>
        <w:t>potwierdzającego</w:t>
      </w:r>
      <w:r w:rsidR="00890D50">
        <w:rPr>
          <w:rFonts w:ascii="Times New Roman" w:hAnsi="Times New Roman"/>
          <w:b/>
          <w:sz w:val="24"/>
          <w:szCs w:val="24"/>
        </w:rPr>
        <w:t xml:space="preserve"> ich osiągnięcie.</w:t>
      </w:r>
    </w:p>
    <w:p w:rsidR="00140CD6" w:rsidRDefault="00140CD6" w:rsidP="004D3423">
      <w:pPr>
        <w:spacing w:after="0" w:line="240" w:lineRule="auto"/>
        <w:ind w:left="-181" w:right="-108"/>
        <w:jc w:val="both"/>
        <w:rPr>
          <w:rFonts w:ascii="Times New Roman" w:hAnsi="Times New Roman"/>
          <w:b/>
          <w:sz w:val="24"/>
          <w:szCs w:val="24"/>
        </w:rPr>
      </w:pPr>
    </w:p>
    <w:p w:rsidR="00890D50" w:rsidRDefault="00890D50" w:rsidP="00456DE7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456DE7">
        <w:rPr>
          <w:sz w:val="24"/>
          <w:szCs w:val="24"/>
        </w:rPr>
        <w:t>Jednostka w wyniku kształcenia na studiach doktoranckich, zapewnia uzyskanie efektów kształcenia właściwych dla obszaru badawczego, którego dotyczą  oraz umożliwia uzys</w:t>
      </w:r>
      <w:r w:rsidR="00F631E1">
        <w:rPr>
          <w:sz w:val="24"/>
          <w:szCs w:val="24"/>
        </w:rPr>
        <w:t>kanie stopnia naukowego doktora.</w:t>
      </w:r>
    </w:p>
    <w:p w:rsidR="00890D50" w:rsidRDefault="00CA6611" w:rsidP="00456DE7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</w:t>
      </w:r>
      <w:r w:rsidR="00890D50" w:rsidRPr="00456DE7">
        <w:rPr>
          <w:sz w:val="24"/>
          <w:szCs w:val="24"/>
        </w:rPr>
        <w:t>ednostka zapewnia efekty kształcenia na studiach podyplomowych zgodne</w:t>
      </w:r>
      <w:r w:rsidR="00456DE7">
        <w:rPr>
          <w:sz w:val="24"/>
          <w:szCs w:val="24"/>
        </w:rPr>
        <w:t xml:space="preserve"> </w:t>
      </w:r>
      <w:r w:rsidR="00890D50" w:rsidRPr="00456DE7">
        <w:rPr>
          <w:sz w:val="24"/>
          <w:szCs w:val="24"/>
        </w:rPr>
        <w:t>z</w:t>
      </w:r>
      <w:r w:rsidR="00456DE7">
        <w:rPr>
          <w:sz w:val="24"/>
          <w:szCs w:val="24"/>
        </w:rPr>
        <w:t> </w:t>
      </w:r>
      <w:r w:rsidR="00890D50" w:rsidRPr="00456DE7">
        <w:rPr>
          <w:sz w:val="24"/>
          <w:szCs w:val="24"/>
        </w:rPr>
        <w:t>wymaganiami organizacji zawodowych i pracodawców oraz umożliwiające   nabycie uprawnień do wykonywania zawodu lub nowych umiejętn</w:t>
      </w:r>
      <w:r w:rsidR="00F631E1">
        <w:rPr>
          <w:sz w:val="24"/>
          <w:szCs w:val="24"/>
        </w:rPr>
        <w:t>ości niezbędnych na rynku pracy.</w:t>
      </w:r>
    </w:p>
    <w:p w:rsidR="00890D50" w:rsidRDefault="00CA6611" w:rsidP="00456DE7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90D50" w:rsidRPr="00456DE7">
        <w:rPr>
          <w:sz w:val="24"/>
          <w:szCs w:val="24"/>
        </w:rPr>
        <w:t>ewnętrzni i zewnętrzni interesariusze uczestniczą w procesie</w:t>
      </w:r>
      <w:r w:rsidR="00F631E1">
        <w:rPr>
          <w:sz w:val="24"/>
          <w:szCs w:val="24"/>
        </w:rPr>
        <w:t xml:space="preserve"> określania efektów kształcenia.</w:t>
      </w:r>
    </w:p>
    <w:p w:rsidR="00890D50" w:rsidRDefault="00CA6611" w:rsidP="00456DE7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890D50" w:rsidRPr="00456DE7">
        <w:rPr>
          <w:sz w:val="24"/>
          <w:szCs w:val="24"/>
        </w:rPr>
        <w:t>ednostka stosuje system ECTS, w którym liczba punktów odpowiada nakładowi pracy doktoranta i słuchacza, adekwatnemu  do</w:t>
      </w:r>
      <w:r w:rsidR="00F631E1">
        <w:rPr>
          <w:sz w:val="24"/>
          <w:szCs w:val="24"/>
        </w:rPr>
        <w:t xml:space="preserve"> osiąganych efektów kształcenia.</w:t>
      </w:r>
    </w:p>
    <w:p w:rsidR="00D0171C" w:rsidRPr="00456DE7" w:rsidRDefault="00CA6611" w:rsidP="00456DE7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890D50" w:rsidRPr="00456DE7">
        <w:rPr>
          <w:sz w:val="24"/>
          <w:szCs w:val="24"/>
        </w:rPr>
        <w:t>ednostka posiada wiarygodny, przejrzysty i powszechnie dostępny - zwłaszcza dla studentów, doktorantów i słuchaczy - system umożliwiający ocenę stopnia  osiągnięcia zakładanych  celów i efektów kształcenia.</w:t>
      </w:r>
    </w:p>
    <w:p w:rsidR="00456DE7" w:rsidRDefault="00456DE7" w:rsidP="00890D50">
      <w:pPr>
        <w:spacing w:after="0" w:line="240" w:lineRule="auto"/>
        <w:ind w:left="-181" w:right="-108"/>
        <w:rPr>
          <w:sz w:val="28"/>
          <w:szCs w:val="28"/>
        </w:rPr>
      </w:pPr>
    </w:p>
    <w:p w:rsidR="00456DE7" w:rsidRPr="00456DE7" w:rsidRDefault="00456DE7" w:rsidP="00890D50">
      <w:pPr>
        <w:spacing w:after="0" w:line="240" w:lineRule="auto"/>
        <w:ind w:left="-181" w:right="-108"/>
        <w:rPr>
          <w:rFonts w:ascii="Times New Roman" w:hAnsi="Times New Roman"/>
          <w:i/>
          <w:sz w:val="24"/>
          <w:szCs w:val="24"/>
        </w:rPr>
      </w:pPr>
      <w:r w:rsidRPr="00456DE7">
        <w:rPr>
          <w:rFonts w:ascii="Times New Roman" w:hAnsi="Times New Roman"/>
          <w:i/>
          <w:sz w:val="24"/>
          <w:szCs w:val="24"/>
        </w:rPr>
        <w:t>Komentarz:</w:t>
      </w:r>
    </w:p>
    <w:p w:rsidR="00D0171C" w:rsidRDefault="00CA6611" w:rsidP="00456DE7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D0171C" w:rsidRPr="004D3423">
        <w:rPr>
          <w:rFonts w:ascii="Times New Roman" w:hAnsi="Times New Roman"/>
          <w:i/>
          <w:sz w:val="24"/>
          <w:szCs w:val="24"/>
        </w:rPr>
        <w:t>cena programu studiów doktoranckich i jego realizacji w zakresie możliwości osiągnięcia efektów kształcenia właściwych dla obszaru badawczego, którego dotyczą:</w:t>
      </w:r>
    </w:p>
    <w:p w:rsidR="00D0171C" w:rsidRDefault="00CA6611" w:rsidP="00456DE7">
      <w:pPr>
        <w:pStyle w:val="Akapitzlist1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przygotowania do pracy</w:t>
      </w:r>
      <w:r w:rsidR="00D0171C" w:rsidRPr="004D3423">
        <w:rPr>
          <w:rFonts w:ascii="Times New Roman" w:hAnsi="Times New Roman"/>
          <w:i/>
          <w:sz w:val="24"/>
          <w:szCs w:val="24"/>
        </w:rPr>
        <w:t xml:space="preserve"> o charakterze badawczym  l</w:t>
      </w:r>
      <w:r>
        <w:rPr>
          <w:rFonts w:ascii="Times New Roman" w:hAnsi="Times New Roman"/>
          <w:i/>
          <w:sz w:val="24"/>
          <w:szCs w:val="24"/>
        </w:rPr>
        <w:t>ub badawczo-rozwojowym poprzez</w:t>
      </w:r>
      <w:r w:rsidR="00D0171C" w:rsidRPr="004D3423">
        <w:rPr>
          <w:rFonts w:ascii="Times New Roman" w:hAnsi="Times New Roman"/>
          <w:i/>
          <w:sz w:val="24"/>
          <w:szCs w:val="24"/>
        </w:rPr>
        <w:t xml:space="preserve"> stworzenie możliwości uzyskania zaawansowanej wiedzy dotyczącej najnowszych osiągnięć nauki w dziedzinie </w:t>
      </w:r>
      <w:r w:rsidR="00456DE7">
        <w:rPr>
          <w:rFonts w:ascii="Times New Roman" w:hAnsi="Times New Roman"/>
          <w:i/>
          <w:sz w:val="24"/>
          <w:szCs w:val="24"/>
        </w:rPr>
        <w:t>i obszarze prowadzonych badań;</w:t>
      </w:r>
    </w:p>
    <w:p w:rsidR="00D0171C" w:rsidRDefault="00D0171C" w:rsidP="00456DE7">
      <w:pPr>
        <w:pStyle w:val="Akapitzlist1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3423">
        <w:rPr>
          <w:rFonts w:ascii="Times New Roman" w:hAnsi="Times New Roman"/>
          <w:i/>
          <w:sz w:val="24"/>
          <w:szCs w:val="24"/>
        </w:rPr>
        <w:t>umiejętności dotyczących metodyki i metodologii prowadzenia badań naukowych;</w:t>
      </w:r>
    </w:p>
    <w:p w:rsidR="00D0171C" w:rsidRDefault="00D0171C" w:rsidP="00456DE7">
      <w:pPr>
        <w:pStyle w:val="Akapitzlist1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D3423">
        <w:rPr>
          <w:rFonts w:ascii="Times New Roman" w:hAnsi="Times New Roman"/>
          <w:i/>
          <w:sz w:val="24"/>
          <w:szCs w:val="24"/>
        </w:rPr>
        <w:t xml:space="preserve">kompetencji społecznych odnoszących się do działalności naukowo-badawczej </w:t>
      </w:r>
      <w:r w:rsidRPr="004D3423">
        <w:rPr>
          <w:rFonts w:ascii="Times New Roman" w:hAnsi="Times New Roman"/>
          <w:i/>
          <w:sz w:val="24"/>
          <w:szCs w:val="24"/>
        </w:rPr>
        <w:br/>
        <w:t>i społe</w:t>
      </w:r>
      <w:r w:rsidR="00396DAF">
        <w:rPr>
          <w:rFonts w:ascii="Times New Roman" w:hAnsi="Times New Roman"/>
          <w:i/>
          <w:sz w:val="24"/>
          <w:szCs w:val="24"/>
        </w:rPr>
        <w:t>cznej roli uczonego lub artysty;</w:t>
      </w:r>
    </w:p>
    <w:p w:rsidR="00396DAF" w:rsidRDefault="00396DAF" w:rsidP="004D3423">
      <w:pPr>
        <w:pStyle w:val="Akapitzlist1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D0171C" w:rsidRPr="004D3423">
        <w:rPr>
          <w:rFonts w:ascii="Times New Roman" w:hAnsi="Times New Roman"/>
          <w:i/>
          <w:sz w:val="24"/>
          <w:szCs w:val="24"/>
        </w:rPr>
        <w:t>cena prawidłowości doboru modułu przedmiotów fakultatywnych do realizacji założonych efektów  kształcenia, w  tym  zdobycia przez doktoranta kwalifikacji w zakresie nowoczesnych metod i technik</w:t>
      </w:r>
      <w:r>
        <w:rPr>
          <w:rFonts w:ascii="Times New Roman" w:hAnsi="Times New Roman"/>
          <w:i/>
          <w:sz w:val="24"/>
          <w:szCs w:val="24"/>
        </w:rPr>
        <w:t xml:space="preserve"> prowadzenia zajęć dydaktycznych;</w:t>
      </w:r>
    </w:p>
    <w:p w:rsidR="00D0171C" w:rsidRDefault="00396DAF" w:rsidP="004D3423">
      <w:pPr>
        <w:pStyle w:val="Akapitzlist1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D0171C" w:rsidRPr="004D3423">
        <w:rPr>
          <w:rFonts w:ascii="Times New Roman" w:hAnsi="Times New Roman"/>
          <w:i/>
          <w:sz w:val="24"/>
          <w:szCs w:val="24"/>
        </w:rPr>
        <w:t xml:space="preserve">cena zapewnienia przez jednostkę możliwości pracy  naukowej doktorantów w zespołach badawczych, w tym międzynarodowych, udziału w </w:t>
      </w:r>
      <w:r>
        <w:rPr>
          <w:rFonts w:ascii="Times New Roman" w:hAnsi="Times New Roman"/>
          <w:i/>
          <w:sz w:val="24"/>
          <w:szCs w:val="24"/>
        </w:rPr>
        <w:t xml:space="preserve">badaniach naukowych związanych </w:t>
      </w:r>
      <w:r w:rsidR="00D0171C" w:rsidRPr="004D3423">
        <w:rPr>
          <w:rFonts w:ascii="Times New Roman" w:hAnsi="Times New Roman"/>
          <w:i/>
          <w:sz w:val="24"/>
          <w:szCs w:val="24"/>
        </w:rPr>
        <w:t>z tematyką studiów doktoranckich w innych  je</w:t>
      </w:r>
      <w:r>
        <w:rPr>
          <w:rFonts w:ascii="Times New Roman" w:hAnsi="Times New Roman"/>
          <w:i/>
          <w:sz w:val="24"/>
          <w:szCs w:val="24"/>
        </w:rPr>
        <w:t>dnostkach, w tym zagranicznych;</w:t>
      </w:r>
    </w:p>
    <w:p w:rsidR="00D0171C" w:rsidRDefault="00396DAF" w:rsidP="004D3423">
      <w:pPr>
        <w:pStyle w:val="Akapitzlist1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D0171C" w:rsidRPr="004D3423">
        <w:rPr>
          <w:rFonts w:ascii="Times New Roman" w:hAnsi="Times New Roman"/>
          <w:i/>
          <w:sz w:val="24"/>
          <w:szCs w:val="24"/>
        </w:rPr>
        <w:t>cena skuteczności działań podejmowanych przez jednostkę w celu umożliwienia/ułatwienia doktorantom przygotowania publikacji naukowej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D0171C" w:rsidRDefault="00396DAF" w:rsidP="004D3423">
      <w:pPr>
        <w:pStyle w:val="Akapitzlist1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D0171C" w:rsidRPr="004D3423">
        <w:rPr>
          <w:rFonts w:ascii="Times New Roman" w:hAnsi="Times New Roman"/>
          <w:i/>
          <w:sz w:val="24"/>
          <w:szCs w:val="24"/>
        </w:rPr>
        <w:t xml:space="preserve">cena zgodności kwalifikacji naukowych kadry naukowo-dydaktycznej prowadzącej zajęcia dydaktyczne na studiach doktoranckich </w:t>
      </w:r>
      <w:r w:rsidR="00A55AE3" w:rsidRPr="004D3423">
        <w:rPr>
          <w:rFonts w:ascii="Times New Roman" w:hAnsi="Times New Roman"/>
          <w:i/>
          <w:sz w:val="24"/>
          <w:szCs w:val="24"/>
        </w:rPr>
        <w:t>oraz</w:t>
      </w:r>
      <w:r w:rsidR="00D0171C" w:rsidRPr="004D3423">
        <w:rPr>
          <w:rFonts w:ascii="Times New Roman" w:hAnsi="Times New Roman"/>
          <w:i/>
          <w:sz w:val="24"/>
          <w:szCs w:val="24"/>
        </w:rPr>
        <w:t xml:space="preserve"> sprawującej opiekę naukową nad doktorantami</w:t>
      </w:r>
      <w:r w:rsidR="00C669B3">
        <w:rPr>
          <w:rFonts w:ascii="Times New Roman" w:hAnsi="Times New Roman"/>
          <w:i/>
          <w:sz w:val="24"/>
          <w:szCs w:val="24"/>
        </w:rPr>
        <w:t xml:space="preserve"> </w:t>
      </w:r>
      <w:r w:rsidR="00D0171C" w:rsidRPr="004D3423">
        <w:rPr>
          <w:rFonts w:ascii="Times New Roman" w:hAnsi="Times New Roman"/>
          <w:i/>
          <w:sz w:val="24"/>
          <w:szCs w:val="24"/>
        </w:rPr>
        <w:t xml:space="preserve">z celami </w:t>
      </w:r>
      <w:r w:rsidR="00D0171C" w:rsidRPr="00C669B3">
        <w:rPr>
          <w:rFonts w:ascii="Times New Roman" w:hAnsi="Times New Roman"/>
          <w:i/>
          <w:sz w:val="24"/>
          <w:szCs w:val="24"/>
        </w:rPr>
        <w:t xml:space="preserve">i efektami kształcenia </w:t>
      </w:r>
      <w:r w:rsidR="00CA6611">
        <w:rPr>
          <w:rFonts w:ascii="Times New Roman" w:hAnsi="Times New Roman"/>
          <w:i/>
          <w:sz w:val="24"/>
          <w:szCs w:val="24"/>
        </w:rPr>
        <w:t>na tych studiach;</w:t>
      </w:r>
      <w:r w:rsidR="00D0171C" w:rsidRPr="004D3423">
        <w:rPr>
          <w:rFonts w:ascii="Times New Roman" w:hAnsi="Times New Roman"/>
          <w:i/>
          <w:sz w:val="24"/>
          <w:szCs w:val="24"/>
        </w:rPr>
        <w:t xml:space="preserve"> </w:t>
      </w:r>
    </w:p>
    <w:p w:rsidR="00D0171C" w:rsidRDefault="004D3423" w:rsidP="004D3423">
      <w:pPr>
        <w:pStyle w:val="Akapitzlist1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D0171C" w:rsidRPr="004D3423">
        <w:rPr>
          <w:rFonts w:ascii="Times New Roman" w:hAnsi="Times New Roman"/>
          <w:i/>
          <w:sz w:val="24"/>
          <w:szCs w:val="24"/>
        </w:rPr>
        <w:t xml:space="preserve">cena zgodności efektów kształcenia na studiach podyplomowych z wymaganiami organizacji zawodowych i pracodawców, a także możliwości nabycia uprawnień do wykonywania zawodu lub nowych umiejętności niezbędnych na rynku pracy. </w:t>
      </w:r>
      <w:r w:rsidR="000E0414" w:rsidRPr="004D3423">
        <w:rPr>
          <w:rFonts w:ascii="Times New Roman" w:hAnsi="Times New Roman"/>
          <w:i/>
          <w:sz w:val="24"/>
          <w:szCs w:val="24"/>
        </w:rPr>
        <w:t xml:space="preserve">Jeżeli celem studiów podyplomowych jest aktualizacja lub pogłębienie wiedzy albo rozwój predyspozycji  intelektualnych, ocena powinna dotyczyć </w:t>
      </w:r>
      <w:r w:rsidR="00D0171C" w:rsidRPr="004D3423">
        <w:rPr>
          <w:rFonts w:ascii="Times New Roman" w:hAnsi="Times New Roman"/>
          <w:i/>
          <w:sz w:val="24"/>
          <w:szCs w:val="24"/>
        </w:rPr>
        <w:t>możliwości pogłębienia przez słuchacza wiedzy służącej rozwojowi ogólnemu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D0171C" w:rsidRDefault="004D3423" w:rsidP="004D3423">
      <w:pPr>
        <w:pStyle w:val="Akapitzlist1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D0171C" w:rsidRPr="004D3423">
        <w:rPr>
          <w:rFonts w:ascii="Times New Roman" w:hAnsi="Times New Roman"/>
          <w:i/>
          <w:sz w:val="24"/>
          <w:szCs w:val="24"/>
        </w:rPr>
        <w:t>cena programu i planu studiów podyplomowych, możliwości realizacji zakładanych efektów kształcenia, w tym w założo</w:t>
      </w:r>
      <w:r>
        <w:rPr>
          <w:rFonts w:ascii="Times New Roman" w:hAnsi="Times New Roman"/>
          <w:i/>
          <w:sz w:val="24"/>
          <w:szCs w:val="24"/>
        </w:rPr>
        <w:t>nym czasie trwania tych studiów;</w:t>
      </w:r>
    </w:p>
    <w:p w:rsidR="00D0171C" w:rsidRDefault="004D3423" w:rsidP="004D3423">
      <w:pPr>
        <w:pStyle w:val="Akapitzlist1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D0171C" w:rsidRPr="004D3423">
        <w:rPr>
          <w:rFonts w:ascii="Times New Roman" w:hAnsi="Times New Roman"/>
          <w:i/>
          <w:sz w:val="24"/>
          <w:szCs w:val="24"/>
        </w:rPr>
        <w:t>cena prawidłowości doboru i liczby osób realizujących zajęcia dydaktyczne na studiach podyplomowych dla  uzyskania zakładanych efektów kształcenia oraz  zapewnieni</w:t>
      </w:r>
      <w:r>
        <w:rPr>
          <w:rFonts w:ascii="Times New Roman" w:hAnsi="Times New Roman"/>
          <w:i/>
          <w:sz w:val="24"/>
          <w:szCs w:val="24"/>
        </w:rPr>
        <w:t>a właściwej jakości kształcenia;</w:t>
      </w:r>
    </w:p>
    <w:p w:rsidR="004D3423" w:rsidRDefault="004D3423" w:rsidP="004D3423">
      <w:pPr>
        <w:pStyle w:val="Akapitzlist1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4D3423">
        <w:rPr>
          <w:rFonts w:ascii="Times New Roman" w:hAnsi="Times New Roman"/>
          <w:i/>
          <w:sz w:val="24"/>
          <w:szCs w:val="24"/>
        </w:rPr>
        <w:t>o</w:t>
      </w:r>
      <w:r w:rsidR="00D0171C" w:rsidRPr="004D3423">
        <w:rPr>
          <w:rFonts w:ascii="Times New Roman" w:hAnsi="Times New Roman"/>
          <w:i/>
          <w:sz w:val="24"/>
          <w:szCs w:val="24"/>
        </w:rPr>
        <w:t>cena udziału interesariu</w:t>
      </w:r>
      <w:r w:rsidR="00CA6611">
        <w:rPr>
          <w:rFonts w:ascii="Times New Roman" w:hAnsi="Times New Roman"/>
          <w:i/>
          <w:sz w:val="24"/>
          <w:szCs w:val="24"/>
        </w:rPr>
        <w:t>szy wewnętrznych i zewnętrznych</w:t>
      </w:r>
      <w:r w:rsidR="00D0171C" w:rsidRPr="004D3423">
        <w:rPr>
          <w:rFonts w:ascii="Times New Roman" w:hAnsi="Times New Roman"/>
          <w:i/>
          <w:sz w:val="24"/>
          <w:szCs w:val="24"/>
        </w:rPr>
        <w:t xml:space="preserve"> (w przypadku studiów podyplomowych - w szczególności pracodawców),  w procesie określania efektów kształcenia, ich osiągania oraz weryfikacji, a także  oceny jakości kształcenia </w:t>
      </w:r>
      <w:r>
        <w:rPr>
          <w:rFonts w:ascii="Times New Roman" w:hAnsi="Times New Roman"/>
          <w:i/>
          <w:sz w:val="24"/>
          <w:szCs w:val="24"/>
        </w:rPr>
        <w:t>prowadzonego na tych studiach;</w:t>
      </w:r>
    </w:p>
    <w:p w:rsidR="00D0171C" w:rsidRDefault="00CA6611" w:rsidP="004D3423">
      <w:pPr>
        <w:pStyle w:val="Akapitzlist1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o</w:t>
      </w:r>
      <w:r w:rsidR="00D0171C" w:rsidRPr="004D3423">
        <w:rPr>
          <w:rFonts w:ascii="Times New Roman" w:hAnsi="Times New Roman"/>
          <w:i/>
          <w:sz w:val="24"/>
          <w:szCs w:val="24"/>
        </w:rPr>
        <w:t xml:space="preserve">cena stosowanego systemu ECTS - prawidłowości określenia nakładu pracy i czasu niezbędnego do osiągnięcia zakładanych efektów kształcenia. Ocena sposobu wykorzystania możliwości stworzonych przez ten system w indywidualizowaniu procesu kształcenia </w:t>
      </w:r>
      <w:r w:rsidR="00B34B56" w:rsidRPr="004D3423">
        <w:rPr>
          <w:rFonts w:ascii="Times New Roman" w:hAnsi="Times New Roman"/>
          <w:i/>
          <w:sz w:val="24"/>
          <w:szCs w:val="24"/>
        </w:rPr>
        <w:t xml:space="preserve">na studiach doktoranckich </w:t>
      </w:r>
      <w:r w:rsidR="00D0171C" w:rsidRPr="004D3423">
        <w:rPr>
          <w:rFonts w:ascii="Times New Roman" w:hAnsi="Times New Roman"/>
          <w:i/>
          <w:sz w:val="24"/>
          <w:szCs w:val="24"/>
        </w:rPr>
        <w:t xml:space="preserve">poprzez wymianę międzyuczelnianą i międzynarodową; </w:t>
      </w:r>
    </w:p>
    <w:p w:rsidR="00D0171C" w:rsidRPr="004D3423" w:rsidRDefault="004D3423" w:rsidP="004D3423">
      <w:pPr>
        <w:pStyle w:val="Akapitzlist1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D0171C" w:rsidRPr="004D3423">
        <w:rPr>
          <w:rFonts w:ascii="Times New Roman" w:hAnsi="Times New Roman"/>
          <w:i/>
          <w:sz w:val="24"/>
          <w:szCs w:val="24"/>
        </w:rPr>
        <w:t>cena wiarygodności i  przejrzystości stosowanego w jednostce systemu oceny stopnia osiągnięcia  zakładanych celów i efektów kształcenia.   Ocena stopnia dostępności tego systemu, w szczególności dla doktorantów i słuchaczy studiów podyplomowych.</w:t>
      </w:r>
    </w:p>
    <w:p w:rsidR="00D0171C" w:rsidRDefault="00D0171C" w:rsidP="00D0171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Ocena końcowa 3 </w:t>
      </w:r>
      <w:r>
        <w:rPr>
          <w:rFonts w:ascii="Times New Roman" w:hAnsi="Times New Roman"/>
          <w:b/>
          <w:i/>
          <w:sz w:val="24"/>
          <w:szCs w:val="24"/>
        </w:rPr>
        <w:t>kryterium ogólnego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C669B3">
        <w:rPr>
          <w:rFonts w:ascii="Times New Roman" w:hAnsi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………… </w:t>
      </w:r>
    </w:p>
    <w:p w:rsidR="00D0171C" w:rsidRDefault="00D0171C" w:rsidP="00D0171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Syntetyczna ocena opisowa stopnia spełnienia </w:t>
      </w:r>
      <w:r>
        <w:rPr>
          <w:rFonts w:ascii="Times New Roman" w:hAnsi="Times New Roman"/>
          <w:b/>
          <w:i/>
          <w:sz w:val="24"/>
          <w:szCs w:val="24"/>
        </w:rPr>
        <w:t>kryteriów szczegółowych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…….</w:t>
      </w:r>
      <w:r w:rsidR="00B91606">
        <w:rPr>
          <w:rFonts w:ascii="Times New Roman" w:hAnsi="Times New Roman"/>
          <w:b/>
          <w:sz w:val="24"/>
          <w:szCs w:val="24"/>
        </w:rPr>
        <w:t xml:space="preserve"> („nie dotyczy</w:t>
      </w:r>
      <w:r w:rsidR="00FE4F37">
        <w:rPr>
          <w:rFonts w:ascii="Times New Roman" w:hAnsi="Times New Roman"/>
          <w:b/>
          <w:sz w:val="24"/>
          <w:szCs w:val="24"/>
        </w:rPr>
        <w:t>”</w:t>
      </w:r>
      <w:r w:rsidR="00B91606">
        <w:rPr>
          <w:rFonts w:ascii="Times New Roman" w:hAnsi="Times New Roman"/>
          <w:b/>
          <w:sz w:val="24"/>
          <w:szCs w:val="24"/>
        </w:rPr>
        <w:t>, jeżeli studia doktoranckie nie są prowadzone)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…….</w:t>
      </w:r>
      <w:r w:rsidR="00B91606">
        <w:rPr>
          <w:rFonts w:ascii="Times New Roman" w:hAnsi="Times New Roman"/>
          <w:b/>
          <w:sz w:val="24"/>
          <w:szCs w:val="24"/>
        </w:rPr>
        <w:t xml:space="preserve"> („nie dotyczy</w:t>
      </w:r>
      <w:r w:rsidR="00FE4F37">
        <w:rPr>
          <w:rFonts w:ascii="Times New Roman" w:hAnsi="Times New Roman"/>
          <w:b/>
          <w:sz w:val="24"/>
          <w:szCs w:val="24"/>
        </w:rPr>
        <w:t>”</w:t>
      </w:r>
      <w:r w:rsidR="00B91606">
        <w:rPr>
          <w:rFonts w:ascii="Times New Roman" w:hAnsi="Times New Roman"/>
          <w:b/>
          <w:sz w:val="24"/>
          <w:szCs w:val="24"/>
        </w:rPr>
        <w:t>, jeżeli studia podyplomowe nie są prowadzone)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…….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…….</w:t>
      </w:r>
    </w:p>
    <w:p w:rsidR="00D0171C" w:rsidRDefault="00D0171C" w:rsidP="00B739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 .…….</w:t>
      </w:r>
    </w:p>
    <w:p w:rsidR="00B7395E" w:rsidRDefault="00B7395E" w:rsidP="00B739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423" w:rsidRDefault="004D3423" w:rsidP="00B739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71C" w:rsidRDefault="00D0171C" w:rsidP="00B739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Zasoby kadrowe, materialne i finansowe posiadane przez jednostkę </w:t>
      </w:r>
      <w:r w:rsidR="00890D50">
        <w:rPr>
          <w:rFonts w:ascii="Times New Roman" w:hAnsi="Times New Roman"/>
          <w:b/>
          <w:sz w:val="24"/>
          <w:szCs w:val="24"/>
        </w:rPr>
        <w:t xml:space="preserve">dla </w:t>
      </w:r>
      <w:r>
        <w:rPr>
          <w:rFonts w:ascii="Times New Roman" w:hAnsi="Times New Roman"/>
          <w:b/>
          <w:sz w:val="24"/>
          <w:szCs w:val="24"/>
        </w:rPr>
        <w:t>realizacji zakładanych celów strategicznych i osiągnięcia efektów kształcenia</w:t>
      </w:r>
      <w:r w:rsidR="00CA6611">
        <w:rPr>
          <w:rFonts w:ascii="Times New Roman" w:hAnsi="Times New Roman"/>
          <w:b/>
          <w:sz w:val="24"/>
          <w:szCs w:val="24"/>
        </w:rPr>
        <w:t>.</w:t>
      </w:r>
    </w:p>
    <w:p w:rsidR="00A55AE3" w:rsidRDefault="00A55AE3" w:rsidP="00B739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0D50" w:rsidRPr="006C65D5" w:rsidRDefault="00890D50" w:rsidP="006C65D5">
      <w:pPr>
        <w:pStyle w:val="Tekstpodstawowywcit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Cs/>
          <w:strike/>
        </w:rPr>
      </w:pPr>
      <w:r w:rsidRPr="006C65D5">
        <w:rPr>
          <w:rFonts w:asciiTheme="minorHAnsi" w:eastAsia="Times New Roman" w:hAnsiTheme="minorHAnsi" w:cstheme="minorHAnsi"/>
          <w:lang w:eastAsia="pl-PL"/>
        </w:rPr>
        <w:t>Jednostka zapewnia kadrę stosowną do potrzeb wynikających z prowadzonej działalności naukowej, dydaktycznej i organizacyjnej oraz  prowadzi politykę kadrową umożliwiającą  rozwój kwalifikacji naukowych i dydaktycznych pracowników</w:t>
      </w:r>
      <w:r w:rsidR="00F631E1">
        <w:rPr>
          <w:rFonts w:asciiTheme="minorHAnsi" w:eastAsia="Times New Roman" w:hAnsiTheme="minorHAnsi" w:cstheme="minorHAnsi"/>
          <w:lang w:eastAsia="pl-PL"/>
        </w:rPr>
        <w:t>.</w:t>
      </w:r>
      <w:r w:rsidRPr="006C65D5">
        <w:rPr>
          <w:rFonts w:asciiTheme="minorHAnsi" w:eastAsia="Times New Roman" w:hAnsiTheme="minorHAnsi" w:cstheme="minorHAnsi"/>
          <w:strike/>
          <w:lang w:eastAsia="pl-PL"/>
        </w:rPr>
        <w:t xml:space="preserve"> </w:t>
      </w:r>
    </w:p>
    <w:p w:rsidR="00890D50" w:rsidRPr="006C65D5" w:rsidRDefault="00CA6611" w:rsidP="006C65D5">
      <w:pPr>
        <w:pStyle w:val="Tekstpodstawowywcit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Cs/>
          <w:strike/>
        </w:rPr>
      </w:pPr>
      <w:r>
        <w:rPr>
          <w:rFonts w:asciiTheme="minorHAnsi" w:hAnsiTheme="minorHAnsi" w:cstheme="minorHAnsi"/>
        </w:rPr>
        <w:t>J</w:t>
      </w:r>
      <w:r w:rsidR="00890D50" w:rsidRPr="006C65D5">
        <w:rPr>
          <w:rFonts w:asciiTheme="minorHAnsi" w:hAnsiTheme="minorHAnsi" w:cstheme="minorHAnsi"/>
        </w:rPr>
        <w:t>ednostka dysponuje odpowiednią infrastrukturą dydaktyczną dostosowaną do specyfiki oferowanych studiów, zapewniającą osiągnięcie zakładanych  efektów kształcenia</w:t>
      </w:r>
      <w:r w:rsidR="00F631E1">
        <w:rPr>
          <w:rFonts w:asciiTheme="minorHAnsi" w:hAnsiTheme="minorHAnsi" w:cstheme="minorHAnsi"/>
        </w:rPr>
        <w:t>.</w:t>
      </w:r>
    </w:p>
    <w:p w:rsidR="00890D50" w:rsidRPr="006C65D5" w:rsidRDefault="00CA6611" w:rsidP="006C65D5">
      <w:pPr>
        <w:pStyle w:val="Tekstpodstawowywcity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Cs/>
          <w:strike/>
        </w:rPr>
      </w:pPr>
      <w:r>
        <w:rPr>
          <w:rFonts w:asciiTheme="minorHAnsi" w:hAnsiTheme="minorHAnsi" w:cstheme="minorHAnsi"/>
        </w:rPr>
        <w:t>P</w:t>
      </w:r>
      <w:r w:rsidR="00890D50" w:rsidRPr="006C65D5">
        <w:rPr>
          <w:rFonts w:asciiTheme="minorHAnsi" w:hAnsiTheme="minorHAnsi" w:cstheme="minorHAnsi"/>
        </w:rPr>
        <w:t>olityka finansowa jednostki zapewnia stabilność jej rozwoju.</w:t>
      </w:r>
    </w:p>
    <w:p w:rsidR="006C65D5" w:rsidRPr="006C65D5" w:rsidRDefault="006C65D5" w:rsidP="006C65D5">
      <w:pPr>
        <w:pStyle w:val="Tekstpodstawowywcity"/>
        <w:spacing w:after="0"/>
        <w:ind w:left="360"/>
        <w:jc w:val="both"/>
        <w:rPr>
          <w:rFonts w:asciiTheme="minorHAnsi" w:hAnsiTheme="minorHAnsi" w:cstheme="minorHAnsi"/>
          <w:bCs/>
          <w:strike/>
        </w:rPr>
      </w:pPr>
    </w:p>
    <w:p w:rsidR="006C65D5" w:rsidRPr="006C65D5" w:rsidRDefault="006C65D5" w:rsidP="006C65D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C65D5">
        <w:rPr>
          <w:rFonts w:ascii="Times New Roman" w:hAnsi="Times New Roman"/>
          <w:i/>
          <w:sz w:val="24"/>
          <w:szCs w:val="24"/>
        </w:rPr>
        <w:t>Komentarz:</w:t>
      </w:r>
    </w:p>
    <w:p w:rsidR="00D0171C" w:rsidRPr="006C65D5" w:rsidRDefault="00CA6611" w:rsidP="006C65D5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D0171C" w:rsidRPr="006C65D5">
        <w:rPr>
          <w:rFonts w:ascii="Times New Roman" w:hAnsi="Times New Roman"/>
          <w:i/>
          <w:sz w:val="24"/>
          <w:szCs w:val="24"/>
        </w:rPr>
        <w:t>cena polityki kadrowej prowadzonej w jednostce: zasad i metod doboru kadry naukowo</w:t>
      </w:r>
      <w:r w:rsidR="00B80171" w:rsidRPr="006C65D5">
        <w:rPr>
          <w:rFonts w:ascii="Times New Roman" w:hAnsi="Times New Roman"/>
          <w:i/>
          <w:sz w:val="24"/>
          <w:szCs w:val="24"/>
        </w:rPr>
        <w:t>-</w:t>
      </w:r>
      <w:r w:rsidR="00D0171C" w:rsidRPr="006C65D5">
        <w:rPr>
          <w:rFonts w:ascii="Times New Roman" w:hAnsi="Times New Roman"/>
          <w:i/>
          <w:sz w:val="24"/>
          <w:szCs w:val="24"/>
        </w:rPr>
        <w:t xml:space="preserve"> dydaktycznej do potrzeb wynikających z prowadzonego kształcenia i badań naukowych  realizowanych  w jednostce, prawidłowości  powie</w:t>
      </w:r>
      <w:r w:rsidR="006C65D5" w:rsidRPr="006C65D5">
        <w:rPr>
          <w:rFonts w:ascii="Times New Roman" w:hAnsi="Times New Roman"/>
          <w:i/>
          <w:sz w:val="24"/>
          <w:szCs w:val="24"/>
        </w:rPr>
        <w:t xml:space="preserve">rzania jej zadań dydaktycznych </w:t>
      </w:r>
      <w:r w:rsidR="00D0171C" w:rsidRPr="006C65D5">
        <w:rPr>
          <w:rFonts w:ascii="Times New Roman" w:hAnsi="Times New Roman"/>
          <w:i/>
          <w:sz w:val="24"/>
          <w:szCs w:val="24"/>
        </w:rPr>
        <w:t>i naukowych, weryfikacji jakości wykonywania tych zadań, w tym badani</w:t>
      </w:r>
      <w:r w:rsidR="00B34B56" w:rsidRPr="006C65D5">
        <w:rPr>
          <w:rFonts w:ascii="Times New Roman" w:hAnsi="Times New Roman"/>
          <w:i/>
          <w:sz w:val="24"/>
          <w:szCs w:val="24"/>
        </w:rPr>
        <w:t>a opinii studentów, doktorantów i</w:t>
      </w:r>
      <w:r w:rsidR="00D0171C" w:rsidRPr="006C65D5">
        <w:rPr>
          <w:rFonts w:ascii="Times New Roman" w:hAnsi="Times New Roman"/>
          <w:i/>
          <w:sz w:val="24"/>
          <w:szCs w:val="24"/>
        </w:rPr>
        <w:t xml:space="preserve"> słuchaczy, stwarzania możliwości </w:t>
      </w:r>
      <w:r w:rsidR="006C65D5" w:rsidRPr="006C65D5">
        <w:rPr>
          <w:rFonts w:ascii="Times New Roman" w:hAnsi="Times New Roman"/>
          <w:i/>
          <w:sz w:val="24"/>
          <w:szCs w:val="24"/>
        </w:rPr>
        <w:t xml:space="preserve">rozwoju kwalifikacji naukowych </w:t>
      </w:r>
      <w:r w:rsidR="00D0171C" w:rsidRPr="006C65D5">
        <w:rPr>
          <w:rFonts w:ascii="Times New Roman" w:hAnsi="Times New Roman"/>
          <w:i/>
          <w:sz w:val="24"/>
          <w:szCs w:val="24"/>
        </w:rPr>
        <w:t>i dydaktycznych pracowników. Ocena efektów realiz</w:t>
      </w:r>
      <w:r w:rsidR="006C65D5" w:rsidRPr="006C65D5">
        <w:rPr>
          <w:rFonts w:ascii="Times New Roman" w:hAnsi="Times New Roman"/>
          <w:i/>
          <w:sz w:val="24"/>
          <w:szCs w:val="24"/>
        </w:rPr>
        <w:t xml:space="preserve">acji tej polityki (spójności </w:t>
      </w:r>
      <w:r w:rsidR="00B34B56" w:rsidRPr="006C65D5">
        <w:rPr>
          <w:rFonts w:ascii="Times New Roman" w:hAnsi="Times New Roman"/>
          <w:i/>
          <w:sz w:val="24"/>
          <w:szCs w:val="24"/>
        </w:rPr>
        <w:t xml:space="preserve">zakresu </w:t>
      </w:r>
      <w:r w:rsidR="00D0171C" w:rsidRPr="006C65D5">
        <w:rPr>
          <w:rFonts w:ascii="Times New Roman" w:hAnsi="Times New Roman"/>
          <w:i/>
          <w:sz w:val="24"/>
          <w:szCs w:val="24"/>
        </w:rPr>
        <w:t>specjalności reprezentowanych p</w:t>
      </w:r>
      <w:r w:rsidR="006C65D5" w:rsidRPr="006C65D5">
        <w:rPr>
          <w:rFonts w:ascii="Times New Roman" w:hAnsi="Times New Roman"/>
          <w:i/>
          <w:sz w:val="24"/>
          <w:szCs w:val="24"/>
        </w:rPr>
        <w:t xml:space="preserve">rzez kadrę naukowo-dydaktyczną </w:t>
      </w:r>
      <w:r w:rsidR="00D0171C" w:rsidRPr="006C65D5">
        <w:rPr>
          <w:rFonts w:ascii="Times New Roman" w:hAnsi="Times New Roman"/>
          <w:i/>
          <w:sz w:val="24"/>
          <w:szCs w:val="24"/>
        </w:rPr>
        <w:t>i dydaktyczną z efektami kształcenia</w:t>
      </w:r>
      <w:r w:rsidR="006C65D5" w:rsidRPr="006C65D5">
        <w:rPr>
          <w:rFonts w:ascii="Times New Roman" w:hAnsi="Times New Roman"/>
          <w:i/>
          <w:sz w:val="24"/>
          <w:szCs w:val="24"/>
        </w:rPr>
        <w:t xml:space="preserve"> określonymi dla prowadzonych w </w:t>
      </w:r>
      <w:r w:rsidR="00D0171C" w:rsidRPr="006C65D5">
        <w:rPr>
          <w:rFonts w:ascii="Times New Roman" w:hAnsi="Times New Roman"/>
          <w:i/>
          <w:sz w:val="24"/>
          <w:szCs w:val="24"/>
        </w:rPr>
        <w:t>jednostce studiów, adekwatności liczby nauczycieli akademickich zaangażowanych w proces dydaktycz</w:t>
      </w:r>
      <w:r w:rsidR="006C65D5" w:rsidRPr="006C65D5">
        <w:rPr>
          <w:rFonts w:ascii="Times New Roman" w:hAnsi="Times New Roman"/>
          <w:i/>
          <w:sz w:val="24"/>
          <w:szCs w:val="24"/>
        </w:rPr>
        <w:t>ny do liczby jego uczestników);</w:t>
      </w:r>
    </w:p>
    <w:p w:rsidR="006C65D5" w:rsidRPr="006C65D5" w:rsidRDefault="006C65D5" w:rsidP="006C65D5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65D5">
        <w:rPr>
          <w:rFonts w:ascii="Times New Roman" w:hAnsi="Times New Roman"/>
          <w:i/>
          <w:sz w:val="24"/>
          <w:szCs w:val="24"/>
        </w:rPr>
        <w:t>o</w:t>
      </w:r>
      <w:r w:rsidR="00D0171C" w:rsidRPr="006C65D5">
        <w:rPr>
          <w:rFonts w:ascii="Times New Roman" w:hAnsi="Times New Roman"/>
          <w:i/>
          <w:sz w:val="24"/>
          <w:szCs w:val="24"/>
        </w:rPr>
        <w:t xml:space="preserve">cena dostosowania  infrastruktury dydaktycznej i naukowej  do profilu i rozmiarów  </w:t>
      </w:r>
      <w:r w:rsidRPr="006C65D5">
        <w:rPr>
          <w:rFonts w:ascii="Times New Roman" w:hAnsi="Times New Roman"/>
          <w:i/>
          <w:sz w:val="24"/>
          <w:szCs w:val="24"/>
        </w:rPr>
        <w:t xml:space="preserve"> </w:t>
      </w:r>
      <w:r w:rsidR="00D0171C" w:rsidRPr="006C65D5">
        <w:rPr>
          <w:rFonts w:ascii="Times New Roman" w:hAnsi="Times New Roman"/>
          <w:i/>
          <w:sz w:val="24"/>
          <w:szCs w:val="24"/>
        </w:rPr>
        <w:t>prowadzonego kształcenia oraz  specyfiki realizowanych</w:t>
      </w:r>
      <w:r w:rsidRPr="006C65D5">
        <w:rPr>
          <w:rFonts w:ascii="Times New Roman" w:hAnsi="Times New Roman"/>
          <w:i/>
          <w:sz w:val="24"/>
          <w:szCs w:val="24"/>
        </w:rPr>
        <w:t xml:space="preserve"> badań. Ocena planów jednostki </w:t>
      </w:r>
      <w:r w:rsidR="00D0171C" w:rsidRPr="006C65D5">
        <w:rPr>
          <w:rFonts w:ascii="Times New Roman" w:hAnsi="Times New Roman"/>
          <w:i/>
          <w:sz w:val="24"/>
          <w:szCs w:val="24"/>
        </w:rPr>
        <w:t>w zakresie rozwoju tej infrastruktury. Udział</w:t>
      </w:r>
      <w:r w:rsidRPr="006C65D5">
        <w:rPr>
          <w:rFonts w:ascii="Times New Roman" w:hAnsi="Times New Roman"/>
          <w:i/>
          <w:sz w:val="24"/>
          <w:szCs w:val="24"/>
        </w:rPr>
        <w:t xml:space="preserve">  interesariuszy zewnętrznych w </w:t>
      </w:r>
      <w:r w:rsidR="00D0171C" w:rsidRPr="006C65D5">
        <w:rPr>
          <w:rFonts w:ascii="Times New Roman" w:hAnsi="Times New Roman"/>
          <w:i/>
          <w:sz w:val="24"/>
          <w:szCs w:val="24"/>
        </w:rPr>
        <w:t>zapewnieniu dostępu do bazy o najwyższ</w:t>
      </w:r>
      <w:r w:rsidRPr="006C65D5">
        <w:rPr>
          <w:rFonts w:ascii="Times New Roman" w:hAnsi="Times New Roman"/>
          <w:i/>
          <w:sz w:val="24"/>
          <w:szCs w:val="24"/>
        </w:rPr>
        <w:t>ych standardach dydaktycznych i </w:t>
      </w:r>
      <w:r w:rsidR="00D0171C" w:rsidRPr="006C65D5">
        <w:rPr>
          <w:rFonts w:ascii="Times New Roman" w:hAnsi="Times New Roman"/>
          <w:i/>
          <w:sz w:val="24"/>
          <w:szCs w:val="24"/>
        </w:rPr>
        <w:t>naukowych, w tym  nowoczesnych laboratoriów, zaawansowanych technologii związanych z realizowanym ksz</w:t>
      </w:r>
      <w:r w:rsidRPr="006C65D5">
        <w:rPr>
          <w:rFonts w:ascii="Times New Roman" w:hAnsi="Times New Roman"/>
          <w:i/>
          <w:sz w:val="24"/>
          <w:szCs w:val="24"/>
        </w:rPr>
        <w:t>tałceniem i badaniami naukowymi;</w:t>
      </w:r>
    </w:p>
    <w:p w:rsidR="00D0171C" w:rsidRPr="006C65D5" w:rsidRDefault="00D0171C" w:rsidP="006C65D5">
      <w:pPr>
        <w:pStyle w:val="Akapitzlist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65D5">
        <w:rPr>
          <w:rFonts w:ascii="Times New Roman" w:hAnsi="Times New Roman"/>
          <w:i/>
          <w:sz w:val="24"/>
          <w:szCs w:val="24"/>
        </w:rPr>
        <w:t xml:space="preserve"> </w:t>
      </w:r>
      <w:r w:rsidR="006C65D5" w:rsidRPr="006C65D5">
        <w:rPr>
          <w:rFonts w:ascii="Times New Roman" w:hAnsi="Times New Roman"/>
          <w:i/>
          <w:sz w:val="24"/>
          <w:szCs w:val="24"/>
        </w:rPr>
        <w:t>o</w:t>
      </w:r>
      <w:r w:rsidRPr="006C65D5">
        <w:rPr>
          <w:rFonts w:ascii="Times New Roman" w:hAnsi="Times New Roman"/>
          <w:i/>
          <w:sz w:val="24"/>
          <w:szCs w:val="24"/>
        </w:rPr>
        <w:t xml:space="preserve">cena polityki finansowej jednostki pod względem zapewnienia realizacji jej celów </w:t>
      </w:r>
      <w:r w:rsidR="006C65D5" w:rsidRPr="006C65D5">
        <w:rPr>
          <w:rFonts w:ascii="Times New Roman" w:hAnsi="Times New Roman"/>
          <w:i/>
          <w:sz w:val="24"/>
          <w:szCs w:val="24"/>
        </w:rPr>
        <w:t xml:space="preserve"> </w:t>
      </w:r>
      <w:r w:rsidR="00F71564" w:rsidRPr="006C65D5">
        <w:rPr>
          <w:rFonts w:ascii="Times New Roman" w:hAnsi="Times New Roman"/>
          <w:i/>
          <w:sz w:val="24"/>
          <w:szCs w:val="24"/>
        </w:rPr>
        <w:t>strategicznych oraz</w:t>
      </w:r>
      <w:r w:rsidRPr="006C65D5">
        <w:rPr>
          <w:rFonts w:ascii="Times New Roman" w:hAnsi="Times New Roman"/>
          <w:i/>
          <w:sz w:val="24"/>
          <w:szCs w:val="24"/>
        </w:rPr>
        <w:t xml:space="preserve"> osiągnięcia zakładanych efektów kształcenia i stabilności rozwoju. Ocena uwzględnienia w polityce finansowej jednostki konieczności realizacji zadań </w:t>
      </w:r>
      <w:r w:rsidRPr="006C65D5">
        <w:rPr>
          <w:rFonts w:ascii="Times New Roman" w:hAnsi="Times New Roman"/>
          <w:i/>
          <w:sz w:val="24"/>
          <w:szCs w:val="24"/>
        </w:rPr>
        <w:lastRenderedPageBreak/>
        <w:t>projakościowych określonych m.in. w wyniku działania wewnętrznego systemu zapewnienia jakości kształcenia.</w:t>
      </w:r>
    </w:p>
    <w:p w:rsidR="00144979" w:rsidRDefault="00144979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69B3" w:rsidRDefault="00C669B3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Ocena końcowa 4 </w:t>
      </w:r>
      <w:r>
        <w:rPr>
          <w:rFonts w:ascii="Times New Roman" w:hAnsi="Times New Roman"/>
          <w:b/>
          <w:i/>
          <w:sz w:val="24"/>
          <w:szCs w:val="24"/>
        </w:rPr>
        <w:t>kryterium ogólnego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69B3">
        <w:rPr>
          <w:rFonts w:ascii="Times New Roman" w:hAnsi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</w:t>
      </w:r>
    </w:p>
    <w:p w:rsidR="00D0171C" w:rsidRDefault="00D0171C" w:rsidP="00D0171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Syntetyczna ocena opisowa stopnia spełnienia </w:t>
      </w:r>
      <w:r>
        <w:rPr>
          <w:rFonts w:ascii="Times New Roman" w:hAnsi="Times New Roman"/>
          <w:b/>
          <w:i/>
          <w:sz w:val="24"/>
          <w:szCs w:val="24"/>
        </w:rPr>
        <w:t>kryteriów szczegółowych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="00A55AE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……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…….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…….</w:t>
      </w:r>
    </w:p>
    <w:p w:rsidR="006C65D5" w:rsidRDefault="006C65D5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65D5" w:rsidRDefault="006C65D5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Badania naukowe</w:t>
      </w:r>
      <w:r w:rsidR="00B34B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prowadzone przez jednostkę</w:t>
      </w:r>
      <w:r w:rsidR="00F631E1">
        <w:rPr>
          <w:rFonts w:ascii="Times New Roman" w:hAnsi="Times New Roman"/>
          <w:b/>
          <w:sz w:val="24"/>
          <w:szCs w:val="24"/>
        </w:rPr>
        <w:t>.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0D50" w:rsidRPr="006C65D5" w:rsidRDefault="00890D50" w:rsidP="006C6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5D5">
        <w:rPr>
          <w:sz w:val="24"/>
          <w:szCs w:val="24"/>
        </w:rPr>
        <w:t>Jednostka prowadzi badania naukowe w obszarach</w:t>
      </w:r>
      <w:r w:rsidR="00FB2A0A">
        <w:rPr>
          <w:sz w:val="24"/>
          <w:szCs w:val="24"/>
        </w:rPr>
        <w:t xml:space="preserve"> </w:t>
      </w:r>
      <w:r w:rsidRPr="006C65D5">
        <w:rPr>
          <w:sz w:val="24"/>
          <w:szCs w:val="24"/>
        </w:rPr>
        <w:t>, dziedzinach i  dyscyplinach naukowych związanych z oferowanymi studiami, a wyniki tych badań oraz najnowsze osiągnięcia nauki w danym obszarze wykorzystuje w procesie kształcenia. Jednostka stwarza doktorantom warunki do prowadzenia samodzielnych badań naukowych, a studentom umożliwia udział w badaniach przez nią prowadzonych.</w:t>
      </w:r>
    </w:p>
    <w:p w:rsidR="006C65D5" w:rsidRDefault="006C65D5" w:rsidP="00D0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5D5" w:rsidRPr="00F813E8" w:rsidRDefault="006C65D5" w:rsidP="00D017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813E8">
        <w:rPr>
          <w:rFonts w:ascii="Times New Roman" w:hAnsi="Times New Roman"/>
          <w:i/>
          <w:sz w:val="24"/>
          <w:szCs w:val="24"/>
        </w:rPr>
        <w:t>Komentarz:</w:t>
      </w:r>
    </w:p>
    <w:p w:rsidR="00D0171C" w:rsidRPr="00F813E8" w:rsidRDefault="00CA6611" w:rsidP="006C65D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D0171C" w:rsidRPr="00F813E8">
        <w:rPr>
          <w:rFonts w:ascii="Times New Roman" w:hAnsi="Times New Roman"/>
          <w:i/>
          <w:sz w:val="24"/>
          <w:szCs w:val="24"/>
        </w:rPr>
        <w:t>cena spójności obszarów, dziedzin i dyscyplin naukowych prowadzonych badań naukowych z realizowanym kształceniem i ich wpływu na osiągane efekty kształcenia. Ocena stopnia udziału doktorantów i studentów w prowadzonych badaniach naukowych. Ocena  możliwości realizowania  przez doktorantów samodzielnych badań naukowych, także poza jednostką prowadzącą studia doktoranckie.</w:t>
      </w:r>
    </w:p>
    <w:p w:rsidR="00F813E8" w:rsidRPr="00F813E8" w:rsidRDefault="00F813E8" w:rsidP="00F813E8">
      <w:pPr>
        <w:pStyle w:val="Akapitzlist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0171C" w:rsidRDefault="00D0171C" w:rsidP="00D0171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Ocena końcowa 5 </w:t>
      </w:r>
      <w:r>
        <w:rPr>
          <w:rFonts w:ascii="Times New Roman" w:hAnsi="Times New Roman"/>
          <w:b/>
          <w:i/>
          <w:sz w:val="24"/>
          <w:szCs w:val="24"/>
        </w:rPr>
        <w:t>kryterium ogólnego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69B3">
        <w:rPr>
          <w:rFonts w:ascii="Times New Roman" w:hAnsi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</w:t>
      </w:r>
    </w:p>
    <w:p w:rsidR="00D0171C" w:rsidRDefault="00D0171C" w:rsidP="00D0171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Syntetyczna ocena opisowa stopnia spełnienia </w:t>
      </w:r>
      <w:r>
        <w:rPr>
          <w:rFonts w:ascii="Times New Roman" w:hAnsi="Times New Roman"/>
          <w:b/>
          <w:i/>
          <w:sz w:val="24"/>
          <w:szCs w:val="24"/>
        </w:rPr>
        <w:t>kryterium szczegółowego</w:t>
      </w:r>
      <w:r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…………</w:t>
      </w:r>
      <w:r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0171C" w:rsidRDefault="00D0171C" w:rsidP="00D0171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C65D5" w:rsidRDefault="006C65D5" w:rsidP="00D0171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0171C" w:rsidRDefault="00D0171C" w:rsidP="00D0171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Uczestniczenie jednostki w krajowej i międzynarodowej wymianie studentów, doktorantów, pracowników naukowych i dydaktycznych oraz współpraca  z krajowymi i międzynarodowymi instytucjami akademickimi, a także z prz</w:t>
      </w:r>
      <w:r w:rsidR="00CA6611">
        <w:rPr>
          <w:rFonts w:ascii="Times New Roman" w:hAnsi="Times New Roman"/>
          <w:b/>
          <w:sz w:val="24"/>
          <w:szCs w:val="24"/>
        </w:rPr>
        <w:t xml:space="preserve">edsiębiorstwami </w:t>
      </w:r>
      <w:r w:rsidR="00CA6611">
        <w:rPr>
          <w:rFonts w:ascii="Times New Roman" w:hAnsi="Times New Roman"/>
          <w:b/>
          <w:sz w:val="24"/>
          <w:szCs w:val="24"/>
        </w:rPr>
        <w:br/>
        <w:t>i instytucjami.</w:t>
      </w:r>
    </w:p>
    <w:p w:rsidR="00D0171C" w:rsidRDefault="00D0171C" w:rsidP="00D0171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90D50" w:rsidRDefault="00890D50" w:rsidP="006C65D5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6C65D5">
        <w:rPr>
          <w:sz w:val="24"/>
          <w:szCs w:val="24"/>
        </w:rPr>
        <w:t>Studenci, doktoranci i pracownicy jednostki uczestnicz</w:t>
      </w:r>
      <w:r w:rsidR="00F631E1">
        <w:rPr>
          <w:sz w:val="24"/>
          <w:szCs w:val="24"/>
        </w:rPr>
        <w:t>ą w programach międzynarodowych.</w:t>
      </w:r>
    </w:p>
    <w:p w:rsidR="00890D50" w:rsidRDefault="00CA6611" w:rsidP="006C65D5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890D50" w:rsidRPr="006C65D5">
        <w:rPr>
          <w:sz w:val="24"/>
          <w:szCs w:val="24"/>
        </w:rPr>
        <w:t xml:space="preserve">ednostka podejmuje działania mające na celu internacjonalizację procesu kształcenia, w tym w zakresie określania efektów i realizacji </w:t>
      </w:r>
      <w:r w:rsidR="00F631E1">
        <w:rPr>
          <w:sz w:val="24"/>
          <w:szCs w:val="24"/>
        </w:rPr>
        <w:t>programu kształcenia.</w:t>
      </w:r>
    </w:p>
    <w:p w:rsidR="006C65D5" w:rsidRDefault="00CA6611" w:rsidP="006C65D5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890D50" w:rsidRPr="006C65D5">
        <w:rPr>
          <w:sz w:val="24"/>
          <w:szCs w:val="24"/>
        </w:rPr>
        <w:t>ednostka współpracuje z krajowymi i zagra</w:t>
      </w:r>
      <w:r w:rsidR="00F631E1">
        <w:rPr>
          <w:sz w:val="24"/>
          <w:szCs w:val="24"/>
        </w:rPr>
        <w:t>nicznymi ośrodkami akademickimi.</w:t>
      </w:r>
    </w:p>
    <w:p w:rsidR="00890D50" w:rsidRPr="006C65D5" w:rsidRDefault="00CA6611" w:rsidP="006C65D5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890D50" w:rsidRPr="006C65D5">
        <w:rPr>
          <w:sz w:val="24"/>
          <w:szCs w:val="24"/>
        </w:rPr>
        <w:t xml:space="preserve">ednostka współpracuje z otoczeniem społeczno-gospodarczym, w celu osiągania właściwych efektów kształcenia. </w:t>
      </w:r>
    </w:p>
    <w:p w:rsidR="00890D50" w:rsidRDefault="00890D50" w:rsidP="00D0171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C65D5" w:rsidRPr="006C65D5" w:rsidRDefault="006C65D5" w:rsidP="006C65D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C65D5">
        <w:rPr>
          <w:rFonts w:ascii="Times New Roman" w:hAnsi="Times New Roman"/>
          <w:i/>
          <w:sz w:val="24"/>
          <w:szCs w:val="24"/>
        </w:rPr>
        <w:t xml:space="preserve">Komentarz: </w:t>
      </w:r>
    </w:p>
    <w:p w:rsidR="006C65D5" w:rsidRPr="006C65D5" w:rsidRDefault="00CA6611" w:rsidP="006C65D5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D0171C" w:rsidRPr="006C65D5">
        <w:rPr>
          <w:rFonts w:ascii="Times New Roman" w:hAnsi="Times New Roman"/>
          <w:i/>
          <w:sz w:val="24"/>
          <w:szCs w:val="24"/>
        </w:rPr>
        <w:t xml:space="preserve">cena zapewnienia przez jednostkę udziału studentów, doktorantów, pracowników </w:t>
      </w:r>
      <w:r w:rsidR="00D0171C" w:rsidRPr="006C65D5">
        <w:rPr>
          <w:rFonts w:ascii="Times New Roman" w:hAnsi="Times New Roman"/>
          <w:i/>
          <w:sz w:val="24"/>
          <w:szCs w:val="24"/>
        </w:rPr>
        <w:br/>
        <w:t xml:space="preserve">w realizacji programów międzynarodowych w ramach obszarów, dziedzin </w:t>
      </w:r>
      <w:r w:rsidR="00D0171C" w:rsidRPr="006C65D5">
        <w:rPr>
          <w:rFonts w:ascii="Times New Roman" w:hAnsi="Times New Roman"/>
          <w:i/>
          <w:sz w:val="24"/>
          <w:szCs w:val="24"/>
        </w:rPr>
        <w:br/>
        <w:t>i dyscyplin</w:t>
      </w:r>
      <w:r w:rsidR="00A55AE3" w:rsidRPr="006C65D5">
        <w:rPr>
          <w:rFonts w:ascii="Times New Roman" w:hAnsi="Times New Roman"/>
          <w:i/>
          <w:sz w:val="24"/>
          <w:szCs w:val="24"/>
        </w:rPr>
        <w:t xml:space="preserve"> </w:t>
      </w:r>
      <w:r w:rsidR="00D0171C" w:rsidRPr="006C65D5">
        <w:rPr>
          <w:rFonts w:ascii="Times New Roman" w:hAnsi="Times New Roman"/>
          <w:i/>
          <w:sz w:val="24"/>
          <w:szCs w:val="24"/>
        </w:rPr>
        <w:t xml:space="preserve"> zwi</w:t>
      </w:r>
      <w:r w:rsidR="006C65D5" w:rsidRPr="006C65D5">
        <w:rPr>
          <w:rFonts w:ascii="Times New Roman" w:hAnsi="Times New Roman"/>
          <w:i/>
          <w:sz w:val="24"/>
          <w:szCs w:val="24"/>
        </w:rPr>
        <w:t>ązanych z prowadzonymi studiami;</w:t>
      </w:r>
    </w:p>
    <w:p w:rsidR="00B34B56" w:rsidRPr="006C65D5" w:rsidRDefault="006C65D5" w:rsidP="006C65D5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65D5">
        <w:rPr>
          <w:rFonts w:ascii="Times New Roman" w:hAnsi="Times New Roman"/>
          <w:i/>
          <w:sz w:val="24"/>
          <w:szCs w:val="24"/>
        </w:rPr>
        <w:lastRenderedPageBreak/>
        <w:t>o</w:t>
      </w:r>
      <w:r w:rsidR="00D0171C" w:rsidRPr="006C65D5">
        <w:rPr>
          <w:rFonts w:ascii="Times New Roman" w:hAnsi="Times New Roman"/>
          <w:i/>
          <w:sz w:val="24"/>
          <w:szCs w:val="24"/>
        </w:rPr>
        <w:t xml:space="preserve">cena podejmowanych przez jednostkę działań służących internacjonalizacji procesu kształcenia i ich wpływu na określenie, modyfikację i osiąganie efektów kształcenia oraz realizację </w:t>
      </w:r>
      <w:r w:rsidR="005311E3" w:rsidRPr="006C65D5">
        <w:rPr>
          <w:rFonts w:ascii="Times New Roman" w:hAnsi="Times New Roman"/>
          <w:i/>
          <w:sz w:val="24"/>
          <w:szCs w:val="24"/>
        </w:rPr>
        <w:t xml:space="preserve">procesu </w:t>
      </w:r>
      <w:r w:rsidR="00B34B56" w:rsidRPr="006C65D5">
        <w:rPr>
          <w:rFonts w:ascii="Times New Roman" w:hAnsi="Times New Roman"/>
          <w:i/>
          <w:sz w:val="24"/>
          <w:szCs w:val="24"/>
        </w:rPr>
        <w:t xml:space="preserve"> </w:t>
      </w:r>
      <w:r w:rsidRPr="006C65D5">
        <w:rPr>
          <w:rFonts w:ascii="Times New Roman" w:hAnsi="Times New Roman"/>
          <w:i/>
          <w:sz w:val="24"/>
          <w:szCs w:val="24"/>
        </w:rPr>
        <w:t>kształcenia;</w:t>
      </w:r>
    </w:p>
    <w:p w:rsidR="00D0171C" w:rsidRPr="006C65D5" w:rsidRDefault="006C65D5" w:rsidP="006C65D5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65D5">
        <w:rPr>
          <w:rFonts w:ascii="Times New Roman" w:hAnsi="Times New Roman"/>
          <w:i/>
          <w:sz w:val="24"/>
          <w:szCs w:val="24"/>
        </w:rPr>
        <w:t>o</w:t>
      </w:r>
      <w:r w:rsidR="00D0171C" w:rsidRPr="006C65D5">
        <w:rPr>
          <w:rFonts w:ascii="Times New Roman" w:hAnsi="Times New Roman"/>
          <w:i/>
          <w:sz w:val="24"/>
          <w:szCs w:val="24"/>
        </w:rPr>
        <w:t>cena skali i związku współpracy krajowej oraz międzynarodowej z ośrodkami akademickimi na  prowadzone kształcenie i działalność naukowo-badawczą</w:t>
      </w:r>
      <w:r w:rsidRPr="006C65D5">
        <w:rPr>
          <w:rFonts w:ascii="Times New Roman" w:hAnsi="Times New Roman"/>
          <w:i/>
          <w:sz w:val="24"/>
          <w:szCs w:val="24"/>
        </w:rPr>
        <w:t>;</w:t>
      </w:r>
    </w:p>
    <w:p w:rsidR="00D0171C" w:rsidRPr="006C65D5" w:rsidRDefault="006C65D5" w:rsidP="006C65D5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65D5">
        <w:rPr>
          <w:rFonts w:ascii="Times New Roman" w:hAnsi="Times New Roman"/>
          <w:i/>
          <w:sz w:val="24"/>
          <w:szCs w:val="24"/>
        </w:rPr>
        <w:t>o</w:t>
      </w:r>
      <w:r w:rsidR="00D0171C" w:rsidRPr="006C65D5">
        <w:rPr>
          <w:rFonts w:ascii="Times New Roman" w:hAnsi="Times New Roman"/>
          <w:i/>
          <w:sz w:val="24"/>
          <w:szCs w:val="24"/>
        </w:rPr>
        <w:t>cena zakresu i wyników współpracy jednostki z otoczeni</w:t>
      </w:r>
      <w:r w:rsidRPr="006C65D5">
        <w:rPr>
          <w:rFonts w:ascii="Times New Roman" w:hAnsi="Times New Roman"/>
          <w:i/>
          <w:sz w:val="24"/>
          <w:szCs w:val="24"/>
        </w:rPr>
        <w:t xml:space="preserve">em społeczno-gospodarczym </w:t>
      </w:r>
      <w:r w:rsidR="005311E3" w:rsidRPr="006C65D5">
        <w:rPr>
          <w:rFonts w:ascii="Times New Roman" w:hAnsi="Times New Roman"/>
          <w:i/>
          <w:sz w:val="24"/>
          <w:szCs w:val="24"/>
        </w:rPr>
        <w:t xml:space="preserve">i jej wpływu na osiągane </w:t>
      </w:r>
      <w:r w:rsidR="00D0171C" w:rsidRPr="006C65D5">
        <w:rPr>
          <w:rFonts w:ascii="Times New Roman" w:hAnsi="Times New Roman"/>
          <w:i/>
          <w:sz w:val="24"/>
          <w:szCs w:val="24"/>
        </w:rPr>
        <w:t>efekt</w:t>
      </w:r>
      <w:r w:rsidR="005311E3" w:rsidRPr="006C65D5">
        <w:rPr>
          <w:rFonts w:ascii="Times New Roman" w:hAnsi="Times New Roman"/>
          <w:i/>
          <w:sz w:val="24"/>
          <w:szCs w:val="24"/>
        </w:rPr>
        <w:t>y</w:t>
      </w:r>
      <w:r w:rsidR="00D0171C" w:rsidRPr="006C65D5">
        <w:rPr>
          <w:rFonts w:ascii="Times New Roman" w:hAnsi="Times New Roman"/>
          <w:i/>
          <w:sz w:val="24"/>
          <w:szCs w:val="24"/>
        </w:rPr>
        <w:t xml:space="preserve"> kształcenia.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Ocena końcowa 6 kryterium ogólnego </w:t>
      </w:r>
      <w:r w:rsidR="00C669B3">
        <w:rPr>
          <w:rFonts w:ascii="Times New Roman" w:hAnsi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………… </w:t>
      </w:r>
    </w:p>
    <w:p w:rsidR="00D0171C" w:rsidRDefault="00D0171C" w:rsidP="00D0171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Syntetyczna ocena opisowa stopnia spełnienia </w:t>
      </w:r>
      <w:r>
        <w:rPr>
          <w:rFonts w:ascii="Times New Roman" w:hAnsi="Times New Roman"/>
          <w:b/>
          <w:i/>
          <w:sz w:val="24"/>
          <w:szCs w:val="24"/>
        </w:rPr>
        <w:t>kryteriów szczegółowych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 …….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…….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…….</w:t>
      </w:r>
    </w:p>
    <w:p w:rsidR="00D0171C" w:rsidRPr="00140CD6" w:rsidRDefault="00D0171C" w:rsidP="00D0171C">
      <w:pPr>
        <w:spacing w:after="0" w:line="240" w:lineRule="auto"/>
        <w:jc w:val="both"/>
        <w:rPr>
          <w:b/>
        </w:rPr>
      </w:pPr>
      <w:r w:rsidRPr="00140CD6">
        <w:rPr>
          <w:b/>
        </w:rPr>
        <w:t>4) ………..</w:t>
      </w:r>
    </w:p>
    <w:p w:rsidR="00B34B56" w:rsidRDefault="00B34B56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0CD6" w:rsidRDefault="00140CD6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71C" w:rsidRDefault="00D0171C" w:rsidP="00D0171C">
      <w:pPr>
        <w:pStyle w:val="Akapitzlist1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Wsparcie naukowe, dydaktyczne i materialne  zapewniane  przez jednostkę studentom i doktorantom w procesie uzyskiwania efektów uczenia się</w:t>
      </w:r>
      <w:r w:rsidR="00F631E1">
        <w:rPr>
          <w:rFonts w:ascii="Times New Roman" w:hAnsi="Times New Roman"/>
          <w:b/>
          <w:sz w:val="24"/>
          <w:szCs w:val="24"/>
        </w:rPr>
        <w:t>.</w:t>
      </w:r>
    </w:p>
    <w:p w:rsidR="00890D50" w:rsidRDefault="00890D50" w:rsidP="006C65D5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6C65D5">
        <w:rPr>
          <w:sz w:val="24"/>
          <w:szCs w:val="24"/>
        </w:rPr>
        <w:t xml:space="preserve">Jednostka ma wdrożony system opieki naukowej, dydaktycznej i materialnej, uwzględniający także </w:t>
      </w:r>
      <w:r w:rsidR="00F631E1">
        <w:rPr>
          <w:sz w:val="24"/>
          <w:szCs w:val="24"/>
        </w:rPr>
        <w:t>potrzeby osób niepełnosprawnych.</w:t>
      </w:r>
    </w:p>
    <w:p w:rsidR="00890D50" w:rsidRDefault="00890D50" w:rsidP="006C65D5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6C65D5">
        <w:rPr>
          <w:sz w:val="24"/>
          <w:szCs w:val="24"/>
        </w:rPr>
        <w:t>jednostka ma efektywny system rozpatrywania skarg i rozwi</w:t>
      </w:r>
      <w:r w:rsidR="00F631E1">
        <w:rPr>
          <w:sz w:val="24"/>
          <w:szCs w:val="24"/>
        </w:rPr>
        <w:t>ązywania sytuacji konfliktowych.</w:t>
      </w:r>
    </w:p>
    <w:p w:rsidR="00890D50" w:rsidRPr="006C65D5" w:rsidRDefault="00890D50" w:rsidP="006C65D5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6C65D5">
        <w:rPr>
          <w:sz w:val="24"/>
          <w:szCs w:val="24"/>
        </w:rPr>
        <w:t xml:space="preserve">jednostka wspiera działalność samorządu oraz organizacji zrzeszających studentów lub doktorantów i współpracuje z nimi; </w:t>
      </w:r>
      <w:r w:rsidRPr="006C65D5">
        <w:rPr>
          <w:bCs/>
          <w:sz w:val="24"/>
          <w:szCs w:val="24"/>
        </w:rPr>
        <w:t xml:space="preserve">organy jednostki, podejmują aktywne działania mające na celu szerokie włączanie studentów oraz doktorantów i ich przedstawicieli do prac organów jednostki, komisji statutowych i doraźnych, zwłaszcza koncentrujących swoje prace wokół procesu dydaktycznego i spraw dotyczących studentów i doktorantów. </w:t>
      </w:r>
    </w:p>
    <w:p w:rsidR="00890D50" w:rsidRDefault="00890D50" w:rsidP="00D0171C">
      <w:pPr>
        <w:pStyle w:val="Akapitzlist1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C65D5" w:rsidRPr="006C65D5" w:rsidRDefault="006C65D5" w:rsidP="006C65D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C65D5">
        <w:rPr>
          <w:rFonts w:ascii="Times New Roman" w:hAnsi="Times New Roman"/>
          <w:i/>
          <w:sz w:val="24"/>
          <w:szCs w:val="24"/>
        </w:rPr>
        <w:t>Komentarz:</w:t>
      </w:r>
    </w:p>
    <w:p w:rsidR="006C65D5" w:rsidRPr="006C65D5" w:rsidRDefault="00D0171C" w:rsidP="006C65D5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65D5">
        <w:rPr>
          <w:rFonts w:ascii="Times New Roman" w:hAnsi="Times New Roman"/>
          <w:i/>
          <w:sz w:val="24"/>
          <w:szCs w:val="24"/>
        </w:rPr>
        <w:t xml:space="preserve">Ocena </w:t>
      </w:r>
      <w:r w:rsidR="005311E3" w:rsidRPr="006C65D5">
        <w:rPr>
          <w:rFonts w:ascii="Times New Roman" w:hAnsi="Times New Roman"/>
          <w:i/>
          <w:sz w:val="24"/>
          <w:szCs w:val="24"/>
        </w:rPr>
        <w:t xml:space="preserve">funkcjonującego w jednostce </w:t>
      </w:r>
      <w:r w:rsidRPr="006C65D5">
        <w:rPr>
          <w:rFonts w:ascii="Times New Roman" w:hAnsi="Times New Roman"/>
          <w:i/>
          <w:sz w:val="24"/>
          <w:szCs w:val="24"/>
        </w:rPr>
        <w:t xml:space="preserve">systemu </w:t>
      </w:r>
      <w:r w:rsidR="006C65D5" w:rsidRPr="006C65D5">
        <w:rPr>
          <w:rFonts w:ascii="Times New Roman" w:hAnsi="Times New Roman"/>
          <w:i/>
          <w:sz w:val="24"/>
          <w:szCs w:val="24"/>
        </w:rPr>
        <w:t>opieki naukowej, dydaktycznej i </w:t>
      </w:r>
      <w:r w:rsidRPr="006C65D5">
        <w:rPr>
          <w:rFonts w:ascii="Times New Roman" w:hAnsi="Times New Roman"/>
          <w:i/>
          <w:sz w:val="24"/>
          <w:szCs w:val="24"/>
        </w:rPr>
        <w:t>materialnej</w:t>
      </w:r>
      <w:r w:rsidR="005311E3" w:rsidRPr="006C65D5">
        <w:rPr>
          <w:rFonts w:ascii="Times New Roman" w:hAnsi="Times New Roman"/>
          <w:i/>
          <w:sz w:val="24"/>
          <w:szCs w:val="24"/>
        </w:rPr>
        <w:t>, w tym stopnia</w:t>
      </w:r>
      <w:r w:rsidRPr="006C65D5">
        <w:rPr>
          <w:rFonts w:ascii="Times New Roman" w:hAnsi="Times New Roman"/>
          <w:i/>
          <w:sz w:val="24"/>
          <w:szCs w:val="24"/>
        </w:rPr>
        <w:t xml:space="preserve"> uwzględnienia potrzeb osób niepełnospra</w:t>
      </w:r>
      <w:r w:rsidR="006C65D5" w:rsidRPr="006C65D5">
        <w:rPr>
          <w:rFonts w:ascii="Times New Roman" w:hAnsi="Times New Roman"/>
          <w:i/>
          <w:sz w:val="24"/>
          <w:szCs w:val="24"/>
        </w:rPr>
        <w:t xml:space="preserve">wnych. Ocena udziału studentów </w:t>
      </w:r>
      <w:r w:rsidRPr="006C65D5">
        <w:rPr>
          <w:rFonts w:ascii="Times New Roman" w:hAnsi="Times New Roman"/>
          <w:i/>
          <w:sz w:val="24"/>
          <w:szCs w:val="24"/>
        </w:rPr>
        <w:t>i doktorantów w weryfikacji prawi</w:t>
      </w:r>
      <w:r w:rsidR="006C65D5" w:rsidRPr="006C65D5">
        <w:rPr>
          <w:rFonts w:ascii="Times New Roman" w:hAnsi="Times New Roman"/>
          <w:i/>
          <w:sz w:val="24"/>
          <w:szCs w:val="24"/>
        </w:rPr>
        <w:t>dłowości działania tego systemu;</w:t>
      </w:r>
    </w:p>
    <w:p w:rsidR="00D0171C" w:rsidRPr="006C65D5" w:rsidRDefault="006C65D5" w:rsidP="006C65D5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65D5">
        <w:rPr>
          <w:rFonts w:ascii="Times New Roman" w:hAnsi="Times New Roman"/>
          <w:i/>
          <w:sz w:val="24"/>
          <w:szCs w:val="24"/>
        </w:rPr>
        <w:t>o</w:t>
      </w:r>
      <w:r w:rsidR="00D0171C" w:rsidRPr="006C65D5">
        <w:rPr>
          <w:rFonts w:ascii="Times New Roman" w:hAnsi="Times New Roman"/>
          <w:i/>
          <w:sz w:val="24"/>
          <w:szCs w:val="24"/>
        </w:rPr>
        <w:t>cena podejmowanych działań zapobiegawczych i rozwiązywania sytuacji konfliktowych w jednostce oraz efektywności systemu rozpatrywani</w:t>
      </w:r>
      <w:r w:rsidRPr="006C65D5">
        <w:rPr>
          <w:rFonts w:ascii="Times New Roman" w:hAnsi="Times New Roman"/>
          <w:i/>
          <w:sz w:val="24"/>
          <w:szCs w:val="24"/>
        </w:rPr>
        <w:t xml:space="preserve">a skarg studentów, doktorantów </w:t>
      </w:r>
      <w:r w:rsidR="00D0171C" w:rsidRPr="006C65D5">
        <w:rPr>
          <w:rFonts w:ascii="Times New Roman" w:hAnsi="Times New Roman"/>
          <w:i/>
          <w:sz w:val="24"/>
          <w:szCs w:val="24"/>
        </w:rPr>
        <w:t>i słuchaczy studiów podyplomowych</w:t>
      </w:r>
      <w:r w:rsidRPr="006C65D5">
        <w:rPr>
          <w:rFonts w:ascii="Times New Roman" w:hAnsi="Times New Roman"/>
          <w:i/>
        </w:rPr>
        <w:t>;</w:t>
      </w:r>
    </w:p>
    <w:p w:rsidR="00D0171C" w:rsidRPr="006C65D5" w:rsidRDefault="006C65D5" w:rsidP="006C65D5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5D5">
        <w:rPr>
          <w:rFonts w:ascii="Times New Roman" w:hAnsi="Times New Roman"/>
          <w:i/>
          <w:sz w:val="24"/>
          <w:szCs w:val="24"/>
        </w:rPr>
        <w:t>o</w:t>
      </w:r>
      <w:r w:rsidR="00D0171C" w:rsidRPr="006C65D5">
        <w:rPr>
          <w:rFonts w:ascii="Times New Roman" w:hAnsi="Times New Roman"/>
          <w:i/>
          <w:sz w:val="24"/>
          <w:szCs w:val="24"/>
        </w:rPr>
        <w:t xml:space="preserve">cena działalności samorządu studentów, doktorantów  oraz organizacji ich zrzeszających, wspierającej proces uczenia się oraz  wszechstronnego rozwoju </w:t>
      </w:r>
      <w:r w:rsidR="00D0171C" w:rsidRPr="006C65D5">
        <w:rPr>
          <w:rFonts w:ascii="Times New Roman" w:hAnsi="Times New Roman"/>
          <w:i/>
          <w:sz w:val="24"/>
          <w:szCs w:val="24"/>
        </w:rPr>
        <w:br/>
        <w:t xml:space="preserve">i nabywania kompetencji społecznych studentów i doktorantów, a także  współpracy </w:t>
      </w:r>
      <w:r w:rsidR="00D0171C" w:rsidRPr="006C65D5">
        <w:rPr>
          <w:rFonts w:ascii="Times New Roman" w:hAnsi="Times New Roman"/>
          <w:i/>
          <w:sz w:val="24"/>
          <w:szCs w:val="24"/>
        </w:rPr>
        <w:br/>
        <w:t>w tym zakresie  z władzami jednostki. Ocena roli jednostki w aktywizacji tych środowisk zarówno w pracach dotyczących procesu kształcenia  i</w:t>
      </w:r>
      <w:r w:rsidRPr="006C65D5">
        <w:rPr>
          <w:rFonts w:ascii="Times New Roman" w:hAnsi="Times New Roman"/>
          <w:i/>
          <w:sz w:val="24"/>
          <w:szCs w:val="24"/>
        </w:rPr>
        <w:t xml:space="preserve"> weryfikacji jego jakości, jak </w:t>
      </w:r>
      <w:r w:rsidR="00D0171C" w:rsidRPr="006C65D5">
        <w:rPr>
          <w:rFonts w:ascii="Times New Roman" w:hAnsi="Times New Roman"/>
          <w:i/>
          <w:sz w:val="24"/>
          <w:szCs w:val="24"/>
        </w:rPr>
        <w:t xml:space="preserve">i rozwoju kultury oraz uwrażliwienia na potrzeby społeczne. Ocena </w:t>
      </w:r>
      <w:r w:rsidR="00452362" w:rsidRPr="006C65D5">
        <w:rPr>
          <w:rFonts w:ascii="Times New Roman" w:hAnsi="Times New Roman"/>
          <w:i/>
          <w:sz w:val="24"/>
          <w:szCs w:val="24"/>
        </w:rPr>
        <w:t xml:space="preserve">realizacji </w:t>
      </w:r>
      <w:r w:rsidR="00D0171C" w:rsidRPr="006C65D5">
        <w:rPr>
          <w:rFonts w:ascii="Times New Roman" w:hAnsi="Times New Roman"/>
          <w:i/>
          <w:sz w:val="24"/>
          <w:szCs w:val="24"/>
        </w:rPr>
        <w:t xml:space="preserve">przez </w:t>
      </w:r>
      <w:r w:rsidR="00452362" w:rsidRPr="006C65D5">
        <w:rPr>
          <w:rFonts w:ascii="Times New Roman" w:hAnsi="Times New Roman"/>
          <w:i/>
          <w:sz w:val="24"/>
          <w:szCs w:val="24"/>
        </w:rPr>
        <w:t>Parlament</w:t>
      </w:r>
      <w:r w:rsidR="00D0171C" w:rsidRPr="006C65D5">
        <w:rPr>
          <w:rFonts w:ascii="Times New Roman" w:hAnsi="Times New Roman"/>
          <w:i/>
          <w:sz w:val="24"/>
          <w:szCs w:val="24"/>
        </w:rPr>
        <w:t xml:space="preserve"> Studentów RP wymogów prowadzenia szkoleń studentów rozpoczynających kształcenie w zakresie ich praw i obowią</w:t>
      </w:r>
      <w:r w:rsidR="00825C39" w:rsidRPr="006C65D5">
        <w:rPr>
          <w:rFonts w:ascii="Times New Roman" w:hAnsi="Times New Roman"/>
          <w:i/>
          <w:sz w:val="24"/>
          <w:szCs w:val="24"/>
        </w:rPr>
        <w:t>zków (od roku akademickiego 2012/2013</w:t>
      </w:r>
      <w:r w:rsidR="00D0171C" w:rsidRPr="006C65D5">
        <w:rPr>
          <w:rFonts w:ascii="Times New Roman" w:hAnsi="Times New Roman"/>
          <w:i/>
          <w:sz w:val="24"/>
          <w:szCs w:val="24"/>
        </w:rPr>
        <w:t>)</w:t>
      </w:r>
      <w:r w:rsidR="00B7395E" w:rsidRPr="006C65D5">
        <w:rPr>
          <w:rFonts w:ascii="Times New Roman" w:hAnsi="Times New Roman"/>
          <w:i/>
          <w:sz w:val="24"/>
          <w:szCs w:val="24"/>
        </w:rPr>
        <w:t xml:space="preserve">, oraz ocena </w:t>
      </w:r>
      <w:r w:rsidR="00452362" w:rsidRPr="006C65D5">
        <w:rPr>
          <w:rFonts w:ascii="Times New Roman" w:hAnsi="Times New Roman"/>
          <w:i/>
          <w:sz w:val="24"/>
          <w:szCs w:val="24"/>
        </w:rPr>
        <w:t xml:space="preserve">stworzonych przez </w:t>
      </w:r>
      <w:r w:rsidR="00B7395E" w:rsidRPr="006C65D5">
        <w:rPr>
          <w:rFonts w:ascii="Times New Roman" w:hAnsi="Times New Roman"/>
          <w:i/>
          <w:sz w:val="24"/>
          <w:szCs w:val="24"/>
        </w:rPr>
        <w:t>Uczelnię</w:t>
      </w:r>
      <w:r w:rsidR="00452362" w:rsidRPr="006C65D5">
        <w:rPr>
          <w:rFonts w:ascii="Times New Roman" w:hAnsi="Times New Roman"/>
          <w:i/>
          <w:sz w:val="24"/>
          <w:szCs w:val="24"/>
        </w:rPr>
        <w:t xml:space="preserve">/jednostkę warunków </w:t>
      </w:r>
      <w:r w:rsidR="00B7395E" w:rsidRPr="006C65D5">
        <w:rPr>
          <w:rFonts w:ascii="Times New Roman" w:hAnsi="Times New Roman"/>
          <w:i/>
          <w:sz w:val="24"/>
          <w:szCs w:val="24"/>
        </w:rPr>
        <w:t>umożliwiających</w:t>
      </w:r>
      <w:r w:rsidR="00452362" w:rsidRPr="006C65D5">
        <w:rPr>
          <w:rFonts w:ascii="Times New Roman" w:hAnsi="Times New Roman"/>
          <w:i/>
          <w:sz w:val="24"/>
          <w:szCs w:val="24"/>
        </w:rPr>
        <w:t xml:space="preserve"> spełnienie tych wymogów</w:t>
      </w:r>
      <w:r w:rsidRPr="006C65D5">
        <w:rPr>
          <w:rFonts w:ascii="Times New Roman" w:hAnsi="Times New Roman"/>
          <w:i/>
          <w:sz w:val="24"/>
          <w:szCs w:val="24"/>
        </w:rPr>
        <w:t>.</w:t>
      </w:r>
      <w:r w:rsidR="005311E3" w:rsidRPr="006C65D5">
        <w:rPr>
          <w:rFonts w:ascii="Times New Roman" w:hAnsi="Times New Roman"/>
          <w:b/>
          <w:sz w:val="28"/>
          <w:szCs w:val="28"/>
        </w:rPr>
        <w:t xml:space="preserve"> </w:t>
      </w:r>
    </w:p>
    <w:p w:rsidR="009E0C9A" w:rsidRDefault="009E0C9A" w:rsidP="009E0C9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Ocena końcowa 7 </w:t>
      </w:r>
      <w:r>
        <w:rPr>
          <w:rFonts w:ascii="Times New Roman" w:hAnsi="Times New Roman"/>
          <w:b/>
          <w:i/>
          <w:sz w:val="24"/>
          <w:szCs w:val="24"/>
        </w:rPr>
        <w:t>kryterium ogólnego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69B3">
        <w:rPr>
          <w:rFonts w:ascii="Times New Roman" w:hAnsi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</w:t>
      </w:r>
    </w:p>
    <w:p w:rsidR="00D0171C" w:rsidRDefault="00D0171C" w:rsidP="00D0171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Syntetyczna ocena opisowa stopnia spełnienia </w:t>
      </w:r>
      <w:r>
        <w:rPr>
          <w:rFonts w:ascii="Times New Roman" w:hAnsi="Times New Roman"/>
          <w:b/>
          <w:i/>
          <w:sz w:val="24"/>
          <w:szCs w:val="24"/>
        </w:rPr>
        <w:t>kryteriów szczegółowych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 …….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…….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…….</w:t>
      </w:r>
    </w:p>
    <w:p w:rsidR="00D0171C" w:rsidRDefault="00D0171C" w:rsidP="00D0171C">
      <w:pPr>
        <w:rPr>
          <w:rFonts w:ascii="Times New Roman" w:hAnsi="Times New Roman"/>
          <w:b/>
          <w:sz w:val="24"/>
          <w:szCs w:val="24"/>
        </w:rPr>
      </w:pPr>
    </w:p>
    <w:p w:rsidR="00D0171C" w:rsidRDefault="00D0171C" w:rsidP="00F63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8D4456">
        <w:rPr>
          <w:rFonts w:ascii="Times New Roman" w:hAnsi="Times New Roman"/>
          <w:b/>
          <w:sz w:val="24"/>
          <w:szCs w:val="24"/>
        </w:rPr>
        <w:t>Spójność s</w:t>
      </w:r>
      <w:r>
        <w:rPr>
          <w:rFonts w:ascii="Times New Roman" w:hAnsi="Times New Roman"/>
          <w:b/>
          <w:sz w:val="24"/>
          <w:szCs w:val="24"/>
        </w:rPr>
        <w:t>ystem</w:t>
      </w:r>
      <w:r w:rsidR="008D4456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wewnętrznych przepisów prawnych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normujących proces zapewnienia jakości kształcenia, </w:t>
      </w:r>
      <w:r w:rsidR="008D4456">
        <w:rPr>
          <w:rFonts w:ascii="Times New Roman" w:hAnsi="Times New Roman"/>
          <w:b/>
          <w:sz w:val="24"/>
          <w:szCs w:val="24"/>
        </w:rPr>
        <w:t xml:space="preserve">oraz jego </w:t>
      </w:r>
      <w:r>
        <w:rPr>
          <w:rFonts w:ascii="Times New Roman" w:hAnsi="Times New Roman"/>
          <w:b/>
          <w:sz w:val="24"/>
          <w:szCs w:val="24"/>
        </w:rPr>
        <w:t>zgodność z przepisami powszechnie obowiązującymi</w:t>
      </w:r>
      <w:r w:rsidR="00F631E1">
        <w:rPr>
          <w:rFonts w:ascii="Times New Roman" w:hAnsi="Times New Roman"/>
          <w:b/>
          <w:sz w:val="24"/>
          <w:szCs w:val="24"/>
        </w:rPr>
        <w:t>.</w:t>
      </w:r>
    </w:p>
    <w:p w:rsidR="00D0171C" w:rsidRDefault="00D0171C" w:rsidP="00D01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3B7F" w:rsidRDefault="00DF3B7F" w:rsidP="00D0171C">
      <w:pPr>
        <w:pStyle w:val="Akapitzlist1"/>
        <w:tabs>
          <w:tab w:val="left" w:pos="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Komentarz:</w:t>
      </w:r>
    </w:p>
    <w:p w:rsidR="00D0171C" w:rsidRPr="00066F9F" w:rsidRDefault="00A55AE3" w:rsidP="00D0171C">
      <w:pPr>
        <w:pStyle w:val="Akapitzlist1"/>
        <w:tabs>
          <w:tab w:val="left" w:pos="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66F9F">
        <w:rPr>
          <w:rFonts w:ascii="Times New Roman" w:hAnsi="Times New Roman"/>
          <w:i/>
          <w:sz w:val="24"/>
          <w:szCs w:val="24"/>
        </w:rPr>
        <w:t>O</w:t>
      </w:r>
      <w:r w:rsidR="00D0171C" w:rsidRPr="00066F9F">
        <w:rPr>
          <w:rFonts w:ascii="Times New Roman" w:hAnsi="Times New Roman"/>
          <w:i/>
          <w:sz w:val="24"/>
          <w:szCs w:val="24"/>
        </w:rPr>
        <w:t>cena  kompletności i spójności wewnętrznych przepisów prawnych normujących proces zapewnienia jakości kształcenia zawartych w dokumentach (decyzje, zarządzenia, uchwały) dotyczących prowadzonej polityki jakości, celów jakościowych, strategii realizacji tych celów oraz wprowadzenia i doskonalenia systemu zapewnienia jakości  i zarządzania tym systemem.</w:t>
      </w:r>
    </w:p>
    <w:p w:rsidR="00D0171C" w:rsidRDefault="00A55AE3" w:rsidP="00D0171C">
      <w:pPr>
        <w:pStyle w:val="Akapitzlist1"/>
        <w:tabs>
          <w:tab w:val="left" w:pos="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6F9F">
        <w:rPr>
          <w:rFonts w:ascii="Times New Roman" w:hAnsi="Times New Roman"/>
          <w:i/>
          <w:sz w:val="24"/>
          <w:szCs w:val="24"/>
        </w:rPr>
        <w:t>O</w:t>
      </w:r>
      <w:r w:rsidR="00D0171C" w:rsidRPr="00066F9F">
        <w:rPr>
          <w:rFonts w:ascii="Times New Roman" w:hAnsi="Times New Roman"/>
          <w:i/>
          <w:sz w:val="24"/>
          <w:szCs w:val="24"/>
        </w:rPr>
        <w:t>cena zakresu, sposobu prowadzenia i kompletności  dokumentacji dotyczącej dokonywanych analiz i podejmowanych działań odnoszących się do poszczególnych czynników mających wpływ na jakość kształcenia na prowadzonych kierunkach studiów, studiach doktoranckich i podyplomowych,</w:t>
      </w:r>
      <w:r w:rsidR="00D0171C" w:rsidRPr="00066F9F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D0171C" w:rsidRPr="00066F9F">
        <w:rPr>
          <w:rFonts w:ascii="Times New Roman" w:hAnsi="Times New Roman"/>
          <w:i/>
          <w:sz w:val="24"/>
          <w:szCs w:val="24"/>
        </w:rPr>
        <w:t>oraz  doskonalenia tego systemu.</w:t>
      </w:r>
    </w:p>
    <w:p w:rsidR="00D0171C" w:rsidRDefault="00D0171C" w:rsidP="00D0171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Ocena końcowa 8 </w:t>
      </w:r>
      <w:r>
        <w:rPr>
          <w:rFonts w:ascii="Times New Roman" w:hAnsi="Times New Roman"/>
          <w:b/>
          <w:i/>
          <w:sz w:val="24"/>
          <w:szCs w:val="24"/>
        </w:rPr>
        <w:t>kryterium ogólnego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69B3">
        <w:rPr>
          <w:rFonts w:ascii="Times New Roman" w:hAnsi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</w:t>
      </w:r>
    </w:p>
    <w:p w:rsidR="00D0171C" w:rsidRDefault="00D0171C" w:rsidP="00D0171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Syntetyczna ocena opisowa stopnia spełnienia </w:t>
      </w:r>
      <w:r>
        <w:rPr>
          <w:rFonts w:ascii="Times New Roman" w:hAnsi="Times New Roman"/>
          <w:b/>
          <w:i/>
          <w:sz w:val="24"/>
          <w:szCs w:val="24"/>
        </w:rPr>
        <w:t>kryterium szczegółowego</w:t>
      </w:r>
      <w:r>
        <w:rPr>
          <w:rFonts w:ascii="Times New Roman" w:hAnsi="Times New Roman"/>
          <w:b/>
          <w:sz w:val="24"/>
          <w:szCs w:val="24"/>
        </w:rPr>
        <w:t>…………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0171C" w:rsidRDefault="00D0171C" w:rsidP="00D0171C">
      <w:pPr>
        <w:ind w:left="360"/>
        <w:rPr>
          <w:rFonts w:ascii="Times New Roman" w:hAnsi="Times New Roman"/>
          <w:b/>
          <w:sz w:val="24"/>
          <w:szCs w:val="24"/>
        </w:rPr>
      </w:pPr>
    </w:p>
    <w:p w:rsidR="00D0171C" w:rsidRDefault="00D0171C" w:rsidP="00D0171C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Podsumowanie </w:t>
      </w:r>
    </w:p>
    <w:p w:rsidR="00D0171C" w:rsidRDefault="00D0171C" w:rsidP="00D0171C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nr 2</w:t>
      </w:r>
      <w:r w:rsidR="00CA661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Ocena spełnienia kryteriów oceny instytucjonalnej</w:t>
      </w: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582"/>
        <w:gridCol w:w="2199"/>
        <w:gridCol w:w="1534"/>
        <w:gridCol w:w="781"/>
        <w:gridCol w:w="1146"/>
        <w:gridCol w:w="1257"/>
        <w:gridCol w:w="1789"/>
      </w:tblGrid>
      <w:tr w:rsidR="009C7E2A" w:rsidRPr="005A3559" w:rsidTr="006226FB">
        <w:trPr>
          <w:trHeight w:val="51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C7E2A" w:rsidRPr="005A3559" w:rsidRDefault="009C7E2A" w:rsidP="00B9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 w:rsidP="005A3559">
            <w:pPr>
              <w:jc w:val="center"/>
              <w:rPr>
                <w:b/>
                <w:sz w:val="24"/>
                <w:szCs w:val="24"/>
              </w:rPr>
            </w:pPr>
          </w:p>
          <w:p w:rsidR="009C7E2A" w:rsidRPr="005A3559" w:rsidRDefault="009C7E2A" w:rsidP="005A3559">
            <w:pPr>
              <w:jc w:val="center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7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 w:rsidP="005A3559">
            <w:pPr>
              <w:jc w:val="center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Stopień spełnienia kryterium</w:t>
            </w:r>
          </w:p>
        </w:tc>
      </w:tr>
      <w:tr w:rsidR="009C7E2A" w:rsidRPr="005A3559" w:rsidTr="009C7E2A">
        <w:trPr>
          <w:trHeight w:val="505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9C7E2A" w:rsidRPr="005A3559" w:rsidRDefault="009C7E2A" w:rsidP="005A35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9C7E2A" w:rsidRPr="005A3559" w:rsidRDefault="009C7E2A" w:rsidP="005A35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 w:rsidP="005A3559">
            <w:pPr>
              <w:jc w:val="center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wyróżniająco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 w:rsidP="005A3559">
            <w:pPr>
              <w:jc w:val="center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w pełni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 w:rsidP="005A3559">
            <w:pPr>
              <w:jc w:val="center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znacząco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 w:rsidP="005A3559">
            <w:pPr>
              <w:jc w:val="center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częściowo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 w:rsidP="005A3559">
            <w:pPr>
              <w:jc w:val="center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niedostatecznie</w:t>
            </w:r>
          </w:p>
        </w:tc>
      </w:tr>
      <w:tr w:rsidR="009C7E2A" w:rsidRPr="005A3559" w:rsidTr="009C7E2A">
        <w:trPr>
          <w:trHeight w:val="105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2A" w:rsidRPr="005A3559" w:rsidRDefault="009C7E2A" w:rsidP="009C7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2A" w:rsidRPr="005A3559" w:rsidRDefault="009C7E2A" w:rsidP="009C7E2A">
            <w:pPr>
              <w:jc w:val="center"/>
              <w:rPr>
                <w:b/>
                <w:sz w:val="24"/>
                <w:szCs w:val="24"/>
              </w:rPr>
            </w:pPr>
          </w:p>
          <w:p w:rsidR="009C7E2A" w:rsidRPr="005A3559" w:rsidRDefault="009C7E2A" w:rsidP="009C7E2A">
            <w:pPr>
              <w:jc w:val="center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strategia rozwoju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Default="009C7E2A"/>
          <w:p w:rsidR="009C7E2A" w:rsidRDefault="009C7E2A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 w:rsidP="005A3559">
            <w:pPr>
              <w:spacing w:after="0"/>
              <w:rPr>
                <w:sz w:val="18"/>
                <w:szCs w:val="18"/>
              </w:rPr>
            </w:pPr>
          </w:p>
        </w:tc>
      </w:tr>
      <w:tr w:rsidR="009C7E2A" w:rsidRPr="005A3559" w:rsidTr="009C7E2A">
        <w:trPr>
          <w:trHeight w:val="8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2A" w:rsidRPr="005A3559" w:rsidRDefault="009C7E2A" w:rsidP="009C7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2A" w:rsidRPr="005A3559" w:rsidRDefault="009C7E2A" w:rsidP="009C7E2A">
            <w:pPr>
              <w:jc w:val="center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wewnętrzny system zapewnienia jakości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28"/>
                <w:szCs w:val="28"/>
              </w:rPr>
            </w:pPr>
          </w:p>
        </w:tc>
      </w:tr>
      <w:tr w:rsidR="009C7E2A" w:rsidRPr="005A3559" w:rsidTr="009C7E2A">
        <w:trPr>
          <w:trHeight w:val="23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2A" w:rsidRPr="005A3559" w:rsidRDefault="009C7E2A" w:rsidP="009C7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2A" w:rsidRPr="005A3559" w:rsidRDefault="009C7E2A" w:rsidP="009C7E2A">
            <w:pPr>
              <w:jc w:val="center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 xml:space="preserve">cele i efekty kształcenia na studiach doktoranckich </w:t>
            </w:r>
            <w:r w:rsidRPr="005A3559">
              <w:rPr>
                <w:b/>
                <w:sz w:val="24"/>
                <w:szCs w:val="24"/>
              </w:rPr>
              <w:br/>
              <w:t>i podyplomowych oraz system ich weryfikacji</w:t>
            </w:r>
            <w:r w:rsidR="006226FB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28"/>
                <w:szCs w:val="28"/>
              </w:rPr>
            </w:pPr>
          </w:p>
        </w:tc>
      </w:tr>
      <w:tr w:rsidR="009C7E2A" w:rsidRPr="005A3559" w:rsidTr="009C7E2A">
        <w:trPr>
          <w:trHeight w:val="10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2A" w:rsidRPr="005A3559" w:rsidRDefault="009C7E2A" w:rsidP="009C7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2A" w:rsidRPr="005A3559" w:rsidRDefault="009C7E2A" w:rsidP="009C7E2A">
            <w:pPr>
              <w:jc w:val="center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 xml:space="preserve">zasoby kadrowe, materialne </w:t>
            </w:r>
            <w:r w:rsidRPr="005A3559">
              <w:rPr>
                <w:b/>
                <w:sz w:val="24"/>
                <w:szCs w:val="24"/>
              </w:rPr>
              <w:br/>
              <w:t>i finansowe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28"/>
                <w:szCs w:val="28"/>
              </w:rPr>
            </w:pPr>
          </w:p>
        </w:tc>
      </w:tr>
      <w:tr w:rsidR="009C7E2A" w:rsidRPr="005A3559" w:rsidTr="009C7E2A">
        <w:trPr>
          <w:trHeight w:val="3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2A" w:rsidRPr="005A3559" w:rsidRDefault="009C7E2A" w:rsidP="009C7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2A" w:rsidRPr="005A3559" w:rsidRDefault="009C7E2A" w:rsidP="009C7E2A">
            <w:pPr>
              <w:jc w:val="center"/>
              <w:rPr>
                <w:sz w:val="28"/>
                <w:szCs w:val="28"/>
              </w:rPr>
            </w:pPr>
            <w:r w:rsidRPr="005A3559">
              <w:rPr>
                <w:b/>
                <w:sz w:val="24"/>
                <w:szCs w:val="24"/>
              </w:rPr>
              <w:t>prowadzenie badań naukowych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28"/>
                <w:szCs w:val="28"/>
              </w:rPr>
            </w:pPr>
          </w:p>
        </w:tc>
      </w:tr>
      <w:tr w:rsidR="009C7E2A" w:rsidRPr="005A3559" w:rsidTr="009C7E2A">
        <w:trPr>
          <w:trHeight w:val="6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2A" w:rsidRPr="005A3559" w:rsidRDefault="009C7E2A" w:rsidP="009C7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2A" w:rsidRPr="005A3559" w:rsidRDefault="009C7E2A" w:rsidP="009C7E2A">
            <w:pPr>
              <w:jc w:val="center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 xml:space="preserve">współpraca krajowa </w:t>
            </w:r>
            <w:r w:rsidRPr="005A3559">
              <w:rPr>
                <w:b/>
                <w:sz w:val="24"/>
                <w:szCs w:val="24"/>
              </w:rPr>
              <w:br/>
              <w:t>i międzynarodowa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28"/>
                <w:szCs w:val="28"/>
              </w:rPr>
            </w:pPr>
          </w:p>
        </w:tc>
      </w:tr>
      <w:tr w:rsidR="009C7E2A" w:rsidRPr="005A3559" w:rsidTr="009C7E2A">
        <w:trPr>
          <w:trHeight w:val="11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2A" w:rsidRPr="005A3559" w:rsidRDefault="009C7E2A" w:rsidP="009C7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2A" w:rsidRPr="005A3559" w:rsidRDefault="009C7E2A" w:rsidP="009C7E2A">
            <w:pPr>
              <w:jc w:val="center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 xml:space="preserve">system wsparcia studentów </w:t>
            </w:r>
            <w:r w:rsidRPr="005A3559">
              <w:rPr>
                <w:b/>
                <w:sz w:val="24"/>
                <w:szCs w:val="24"/>
              </w:rPr>
              <w:br/>
              <w:t>i doktorantów</w:t>
            </w:r>
            <w:r w:rsidR="006226FB">
              <w:rPr>
                <w:rStyle w:val="Odwoanieprzypisudolnego"/>
                <w:b/>
                <w:sz w:val="24"/>
                <w:szCs w:val="24"/>
              </w:rPr>
              <w:footnoteReference w:id="6"/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28"/>
                <w:szCs w:val="28"/>
              </w:rPr>
            </w:pPr>
          </w:p>
        </w:tc>
      </w:tr>
      <w:tr w:rsidR="009C7E2A" w:rsidRPr="005A3559" w:rsidTr="009C7E2A">
        <w:trPr>
          <w:trHeight w:val="14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2A" w:rsidRPr="005A3559" w:rsidRDefault="009C7E2A" w:rsidP="009C7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2A" w:rsidRPr="005A3559" w:rsidRDefault="009C7E2A" w:rsidP="009C7E2A">
            <w:pPr>
              <w:jc w:val="center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przepisy wewnętrzne normujące proces zapewnienia jakości kształcenia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C7E2A" w:rsidRPr="005A3559" w:rsidRDefault="009C7E2A">
            <w:pPr>
              <w:rPr>
                <w:sz w:val="28"/>
                <w:szCs w:val="28"/>
              </w:rPr>
            </w:pPr>
          </w:p>
        </w:tc>
      </w:tr>
    </w:tbl>
    <w:p w:rsidR="00D0171C" w:rsidRDefault="00D0171C" w:rsidP="00D0171C">
      <w:pPr>
        <w:rPr>
          <w:rFonts w:ascii="Times New Roman" w:hAnsi="Times New Roman"/>
          <w:b/>
          <w:sz w:val="24"/>
          <w:szCs w:val="24"/>
        </w:rPr>
      </w:pPr>
    </w:p>
    <w:p w:rsidR="00D0171C" w:rsidRDefault="00D0171C" w:rsidP="00D01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171C" w:rsidRDefault="00D0171C" w:rsidP="00C502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Odniesienie się do dokonanej przez jednostkę analizy SWOT w kontekście wyników przeprowadzonej oceny wewnętrznego systemu zapewnienia jakości kształcenia oraz oceny zasobów kadrowych, materialnych, działalności naukowej i międzynarodowej, współpracy  z beneficjentami procesu kształcenia.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3BDE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171">
        <w:rPr>
          <w:rFonts w:ascii="Times New Roman" w:hAnsi="Times New Roman"/>
          <w:b/>
          <w:sz w:val="24"/>
          <w:szCs w:val="24"/>
          <w:u w:val="single"/>
        </w:rPr>
        <w:t>Uwaga:</w:t>
      </w:r>
      <w:r>
        <w:rPr>
          <w:rFonts w:ascii="Times New Roman" w:hAnsi="Times New Roman"/>
          <w:b/>
          <w:sz w:val="24"/>
          <w:szCs w:val="24"/>
        </w:rPr>
        <w:t xml:space="preserve"> jeżeli </w:t>
      </w:r>
      <w:r w:rsidR="00B80171">
        <w:rPr>
          <w:rFonts w:ascii="Times New Roman" w:hAnsi="Times New Roman"/>
          <w:b/>
          <w:sz w:val="24"/>
          <w:szCs w:val="24"/>
        </w:rPr>
        <w:t>argumenty</w:t>
      </w:r>
      <w:r>
        <w:rPr>
          <w:rFonts w:ascii="Times New Roman" w:hAnsi="Times New Roman"/>
          <w:b/>
          <w:sz w:val="24"/>
          <w:szCs w:val="24"/>
        </w:rPr>
        <w:t xml:space="preserve"> przedstawione w odpowiedzi na raport z wizytacji </w:t>
      </w:r>
      <w:r w:rsidR="00B91606">
        <w:rPr>
          <w:rFonts w:ascii="Times New Roman" w:hAnsi="Times New Roman"/>
          <w:b/>
          <w:sz w:val="24"/>
          <w:szCs w:val="24"/>
        </w:rPr>
        <w:t xml:space="preserve">lub wniosku o ponowne rozpatrzenie sprawy </w:t>
      </w:r>
      <w:r>
        <w:rPr>
          <w:rFonts w:ascii="Times New Roman" w:hAnsi="Times New Roman"/>
          <w:b/>
          <w:sz w:val="24"/>
          <w:szCs w:val="24"/>
        </w:rPr>
        <w:t xml:space="preserve">będą uzasadniały zmianę uprzednio sformułowanych ocen raport powinien zostać uzupełniony. Należy </w:t>
      </w:r>
      <w:r w:rsidR="00B80171">
        <w:rPr>
          <w:rFonts w:ascii="Times New Roman" w:hAnsi="Times New Roman"/>
          <w:b/>
          <w:sz w:val="24"/>
          <w:szCs w:val="24"/>
        </w:rPr>
        <w:t xml:space="preserve">wskazać dokumenty, </w:t>
      </w:r>
      <w:r>
        <w:rPr>
          <w:rFonts w:ascii="Times New Roman" w:hAnsi="Times New Roman"/>
          <w:b/>
          <w:sz w:val="24"/>
          <w:szCs w:val="24"/>
        </w:rPr>
        <w:t xml:space="preserve">syntetycznie </w:t>
      </w:r>
      <w:r w:rsidR="00C669B3">
        <w:rPr>
          <w:rFonts w:ascii="Times New Roman" w:hAnsi="Times New Roman"/>
          <w:b/>
          <w:sz w:val="24"/>
          <w:szCs w:val="24"/>
        </w:rPr>
        <w:lastRenderedPageBreak/>
        <w:t>omówić wyjaśnienia</w:t>
      </w:r>
      <w:r>
        <w:rPr>
          <w:rFonts w:ascii="Times New Roman" w:hAnsi="Times New Roman"/>
          <w:b/>
          <w:sz w:val="24"/>
          <w:szCs w:val="24"/>
        </w:rPr>
        <w:t xml:space="preserve"> i dodatkowe informacje, które spowodowały zmianę oceny (odnieść się do każdego kryterium odrębnie, a ostateczną ocenę umieścić w Tabeli nr 3</w:t>
      </w:r>
      <w:r w:rsidR="00B80171">
        <w:rPr>
          <w:rFonts w:ascii="Times New Roman" w:hAnsi="Times New Roman"/>
          <w:b/>
          <w:sz w:val="24"/>
          <w:szCs w:val="24"/>
        </w:rPr>
        <w:t>).</w:t>
      </w:r>
    </w:p>
    <w:p w:rsidR="00B91606" w:rsidRDefault="00B91606" w:rsidP="00D0171C">
      <w:pPr>
        <w:jc w:val="both"/>
        <w:rPr>
          <w:rFonts w:ascii="Times New Roman" w:hAnsi="Times New Roman"/>
          <w:sz w:val="24"/>
          <w:szCs w:val="24"/>
        </w:rPr>
      </w:pPr>
    </w:p>
    <w:p w:rsidR="00D0171C" w:rsidRDefault="00D0171C" w:rsidP="00D017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Tabela nr 3 </w:t>
      </w:r>
    </w:p>
    <w:tbl>
      <w:tblPr>
        <w:tblW w:w="540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2414"/>
        <w:gridCol w:w="1589"/>
        <w:gridCol w:w="1266"/>
        <w:gridCol w:w="1481"/>
        <w:gridCol w:w="1496"/>
        <w:gridCol w:w="1789"/>
      </w:tblGrid>
      <w:tr w:rsidR="00D0171C" w:rsidRPr="005A3559" w:rsidTr="005A3559">
        <w:trPr>
          <w:trHeight w:val="516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0171C" w:rsidRPr="005A3559" w:rsidRDefault="00D0171C" w:rsidP="005A3559">
            <w:pPr>
              <w:jc w:val="center"/>
              <w:rPr>
                <w:b/>
                <w:sz w:val="24"/>
                <w:szCs w:val="24"/>
              </w:rPr>
            </w:pPr>
          </w:p>
          <w:p w:rsidR="00D0171C" w:rsidRPr="005A3559" w:rsidRDefault="00D0171C" w:rsidP="005A3559">
            <w:pPr>
              <w:jc w:val="center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 xml:space="preserve">Kryterium </w:t>
            </w:r>
          </w:p>
          <w:p w:rsidR="00D0171C" w:rsidRPr="005A3559" w:rsidRDefault="00D0171C" w:rsidP="005A35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0171C" w:rsidRPr="005A3559" w:rsidRDefault="00D0171C" w:rsidP="005A3559">
            <w:pPr>
              <w:jc w:val="center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Stopień spełnienia kryterium</w:t>
            </w:r>
          </w:p>
        </w:tc>
      </w:tr>
      <w:tr w:rsidR="00D0171C" w:rsidRPr="005A3559" w:rsidTr="005A3559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D0171C" w:rsidRPr="005A3559" w:rsidRDefault="00D0171C" w:rsidP="005A35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0171C" w:rsidRPr="005A3559" w:rsidRDefault="00D0171C" w:rsidP="005A3559">
            <w:pPr>
              <w:jc w:val="center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wyróżniająco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0171C" w:rsidRPr="005A3559" w:rsidRDefault="00D0171C" w:rsidP="005A3559">
            <w:pPr>
              <w:jc w:val="center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w pełni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0171C" w:rsidRPr="005A3559" w:rsidRDefault="00D0171C" w:rsidP="005A3559">
            <w:pPr>
              <w:jc w:val="center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znacząco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0171C" w:rsidRPr="005A3559" w:rsidRDefault="00D0171C" w:rsidP="005A3559">
            <w:pPr>
              <w:jc w:val="center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częściowo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0171C" w:rsidRPr="005A3559" w:rsidRDefault="00D0171C" w:rsidP="005A3559">
            <w:pPr>
              <w:jc w:val="center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niedostatecznie</w:t>
            </w:r>
          </w:p>
        </w:tc>
      </w:tr>
      <w:tr w:rsidR="00D0171C" w:rsidRPr="005A3559" w:rsidTr="005A3559">
        <w:trPr>
          <w:trHeight w:val="105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 xml:space="preserve">Uwaga: </w:t>
            </w:r>
            <w:r w:rsidRPr="005A3559">
              <w:rPr>
                <w:sz w:val="24"/>
                <w:szCs w:val="24"/>
              </w:rPr>
              <w:t>należy wymienić tylko te kryteria, w odniesieniu do których nastąpiła zmiana oceny</w:t>
            </w:r>
            <w:r w:rsidRPr="005A35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0171C" w:rsidRDefault="00D0171C"/>
          <w:p w:rsidR="00D0171C" w:rsidRDefault="00D0171C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0171C" w:rsidRPr="005A3559" w:rsidRDefault="00D0171C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0171C" w:rsidRPr="005A3559" w:rsidRDefault="00D0171C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0171C" w:rsidRPr="005A3559" w:rsidRDefault="00D0171C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0171C" w:rsidRPr="005A3559" w:rsidRDefault="00D0171C">
            <w:pPr>
              <w:rPr>
                <w:sz w:val="18"/>
                <w:szCs w:val="18"/>
              </w:rPr>
            </w:pPr>
          </w:p>
        </w:tc>
      </w:tr>
    </w:tbl>
    <w:p w:rsidR="00BC16B6" w:rsidRDefault="00BC16B6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 1</w:t>
      </w:r>
      <w:r>
        <w:rPr>
          <w:rFonts w:ascii="Times New Roman" w:hAnsi="Times New Roman"/>
          <w:b/>
          <w:sz w:val="24"/>
          <w:szCs w:val="24"/>
        </w:rPr>
        <w:t xml:space="preserve"> - Podstawa prawna wizytacji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2</w:t>
      </w:r>
      <w:r>
        <w:rPr>
          <w:rFonts w:ascii="Times New Roman" w:hAnsi="Times New Roman"/>
          <w:b/>
          <w:sz w:val="24"/>
          <w:szCs w:val="24"/>
        </w:rPr>
        <w:t xml:space="preserve"> - Szczegółowy harmonogram </w:t>
      </w:r>
      <w:r w:rsidR="0091459F">
        <w:rPr>
          <w:rFonts w:ascii="Times New Roman" w:hAnsi="Times New Roman"/>
          <w:b/>
          <w:sz w:val="24"/>
          <w:szCs w:val="24"/>
        </w:rPr>
        <w:t xml:space="preserve">przeprowadzonej </w:t>
      </w:r>
      <w:r>
        <w:rPr>
          <w:rFonts w:ascii="Times New Roman" w:hAnsi="Times New Roman"/>
          <w:b/>
          <w:sz w:val="24"/>
          <w:szCs w:val="24"/>
        </w:rPr>
        <w:t>wizytacji</w:t>
      </w:r>
      <w:r>
        <w:rPr>
          <w:rFonts w:ascii="Times New Roman" w:hAnsi="Times New Roman"/>
          <w:sz w:val="24"/>
          <w:szCs w:val="24"/>
        </w:rPr>
        <w:t xml:space="preserve"> uwzględniający podział zadań pomiędzy członków zespołu oceniającego</w:t>
      </w:r>
    </w:p>
    <w:p w:rsidR="00D0171C" w:rsidRPr="00CA6611" w:rsidRDefault="00D0171C" w:rsidP="00CA6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5718">
        <w:rPr>
          <w:rFonts w:ascii="Times New Roman" w:hAnsi="Times New Roman"/>
          <w:b/>
          <w:sz w:val="24"/>
          <w:szCs w:val="24"/>
        </w:rPr>
        <w:t xml:space="preserve">Informacja o </w:t>
      </w:r>
      <w:r w:rsidR="004B6325">
        <w:rPr>
          <w:rFonts w:ascii="Times New Roman" w:hAnsi="Times New Roman"/>
          <w:b/>
          <w:sz w:val="24"/>
          <w:szCs w:val="24"/>
        </w:rPr>
        <w:t xml:space="preserve">dotychczasowych </w:t>
      </w:r>
      <w:r w:rsidRPr="00EA5718">
        <w:rPr>
          <w:rFonts w:ascii="Times New Roman" w:hAnsi="Times New Roman"/>
          <w:b/>
          <w:sz w:val="24"/>
          <w:szCs w:val="24"/>
        </w:rPr>
        <w:t>ocenach instytucjonalnych przeprowadzonych przez PKA</w:t>
      </w:r>
      <w:r>
        <w:rPr>
          <w:rFonts w:ascii="Times New Roman" w:hAnsi="Times New Roman"/>
          <w:sz w:val="24"/>
          <w:szCs w:val="24"/>
        </w:rPr>
        <w:t xml:space="preserve"> </w:t>
      </w:r>
      <w:r w:rsidR="004B6325">
        <w:rPr>
          <w:rFonts w:ascii="Times New Roman" w:hAnsi="Times New Roman"/>
          <w:sz w:val="24"/>
          <w:szCs w:val="24"/>
        </w:rPr>
        <w:t>.</w:t>
      </w:r>
    </w:p>
    <w:p w:rsidR="00D0171C" w:rsidRDefault="00D0171C" w:rsidP="00D0171C">
      <w:pPr>
        <w:spacing w:after="0" w:line="240" w:lineRule="auto"/>
        <w:rPr>
          <w:rFonts w:ascii="Times New Roman" w:hAnsi="Times New Roman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080"/>
        <w:gridCol w:w="1800"/>
        <w:gridCol w:w="1856"/>
        <w:gridCol w:w="2160"/>
      </w:tblGrid>
      <w:tr w:rsidR="002577CF">
        <w:trPr>
          <w:trHeight w:val="77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2577CF" w:rsidRDefault="002577CF">
            <w:pPr>
              <w:jc w:val="center"/>
              <w:rPr>
                <w:rFonts w:ascii="Times New Roman" w:hAnsi="Times New Roman"/>
                <w:b/>
              </w:rPr>
            </w:pPr>
          </w:p>
          <w:p w:rsidR="002577CF" w:rsidRDefault="00EA57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</w:t>
            </w:r>
            <w:r w:rsidR="002577CF">
              <w:rPr>
                <w:rFonts w:ascii="Times New Roman" w:hAnsi="Times New Roman"/>
                <w:b/>
              </w:rPr>
              <w:t>ok akademicki dokonania oceny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577CF" w:rsidRDefault="002577CF">
            <w:pPr>
              <w:jc w:val="center"/>
              <w:rPr>
                <w:rFonts w:ascii="Times New Roman" w:hAnsi="Times New Roman"/>
                <w:b/>
              </w:rPr>
            </w:pPr>
          </w:p>
          <w:p w:rsidR="002577CF" w:rsidRDefault="00EA57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</w:t>
            </w:r>
            <w:r w:rsidR="002577CF">
              <w:rPr>
                <w:rFonts w:ascii="Times New Roman" w:hAnsi="Times New Roman"/>
                <w:b/>
              </w:rPr>
              <w:t>cena</w:t>
            </w:r>
          </w:p>
          <w:p w:rsidR="002577CF" w:rsidRDefault="002577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2577CF" w:rsidRDefault="00EA57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</w:t>
            </w:r>
            <w:r w:rsidR="002577CF">
              <w:rPr>
                <w:rFonts w:ascii="Times New Roman" w:hAnsi="Times New Roman"/>
                <w:b/>
              </w:rPr>
              <w:t>kres na jaki została wydana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7CF" w:rsidRDefault="002577CF" w:rsidP="002577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577CF" w:rsidRDefault="00EA5718" w:rsidP="002577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="002577CF">
              <w:rPr>
                <w:rFonts w:ascii="Times New Roman" w:hAnsi="Times New Roman"/>
                <w:b/>
              </w:rPr>
              <w:t>alecenia, uchybienia dotyczące</w:t>
            </w:r>
          </w:p>
          <w:p w:rsidR="002577CF" w:rsidRDefault="002577CF" w:rsidP="002577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77CF">
        <w:trPr>
          <w:trHeight w:val="774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577CF" w:rsidRDefault="002577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577CF" w:rsidRDefault="002577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577CF" w:rsidRDefault="002577C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F" w:rsidRDefault="002577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obszaru studiów I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 xml:space="preserve"> II stopnia</w:t>
            </w:r>
            <w:r w:rsidR="00452362">
              <w:rPr>
                <w:rFonts w:ascii="Times New Roman" w:hAnsi="Times New Roman"/>
                <w:b/>
              </w:rPr>
              <w:t>/ jednolitych magisterskich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7CF" w:rsidRDefault="002577CF" w:rsidP="002577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studiów </w:t>
            </w:r>
          </w:p>
          <w:p w:rsidR="002577CF" w:rsidRDefault="002577CF" w:rsidP="002577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doktoranckich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7CF" w:rsidRDefault="002577CF" w:rsidP="002577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studiów</w:t>
            </w:r>
          </w:p>
          <w:p w:rsidR="002577CF" w:rsidRDefault="002577CF" w:rsidP="002577C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podyplomowych</w:t>
            </w:r>
          </w:p>
        </w:tc>
      </w:tr>
      <w:tr w:rsidR="00D0171C">
        <w:trPr>
          <w:trHeight w:val="1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171C" w:rsidRDefault="00D01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D0171C" w:rsidRDefault="00D017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171C" w:rsidRDefault="00D01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1C" w:rsidRDefault="00D01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171C" w:rsidRDefault="00D01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171C" w:rsidRDefault="00D01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71C">
        <w:trPr>
          <w:trHeight w:val="1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171C" w:rsidRDefault="00D01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D0171C" w:rsidRDefault="00D017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171C" w:rsidRDefault="00D01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1C" w:rsidRDefault="00D01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171C" w:rsidRDefault="00D01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171C" w:rsidRDefault="00D01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71C">
        <w:trPr>
          <w:trHeight w:val="1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171C" w:rsidRDefault="00D01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D0171C" w:rsidRDefault="00D017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171C" w:rsidRDefault="00D01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1C" w:rsidRDefault="00D01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171C" w:rsidRDefault="00D01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171C" w:rsidRDefault="00D01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71C">
        <w:trPr>
          <w:trHeight w:val="1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171C" w:rsidRDefault="00D01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D0171C" w:rsidRDefault="00D017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171C" w:rsidRDefault="00D01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1C" w:rsidRDefault="00D01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171C" w:rsidRDefault="00D01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171C" w:rsidRDefault="00D01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71C">
        <w:trPr>
          <w:trHeight w:val="1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0171C" w:rsidRDefault="00D01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D0171C" w:rsidRDefault="00D017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171C" w:rsidRDefault="00D01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1C" w:rsidRDefault="00D01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171C" w:rsidRDefault="00D01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171C" w:rsidRDefault="00D017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CD6" w:rsidRDefault="00140CD6" w:rsidP="00D0171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0171C" w:rsidRPr="00F71564" w:rsidRDefault="00140CD6" w:rsidP="00D0171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4</w:t>
      </w:r>
    </w:p>
    <w:p w:rsidR="00D0171C" w:rsidRDefault="00D0171C" w:rsidP="00D017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Funkcjonowanie wewnętrznego systemu zapewnienia jakości kształcenia</w:t>
      </w:r>
    </w:p>
    <w:p w:rsidR="00F71564" w:rsidRDefault="00F71564" w:rsidP="00D0171C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211"/>
        <w:gridCol w:w="986"/>
        <w:gridCol w:w="1526"/>
        <w:gridCol w:w="1607"/>
        <w:gridCol w:w="1520"/>
        <w:gridCol w:w="1426"/>
      </w:tblGrid>
      <w:tr w:rsidR="00D0171C" w:rsidRPr="005A3559" w:rsidTr="005A3559">
        <w:trPr>
          <w:trHeight w:val="547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</w:rPr>
            </w:pPr>
          </w:p>
          <w:p w:rsidR="00D0171C" w:rsidRPr="005A3559" w:rsidRDefault="00D0171C">
            <w:pPr>
              <w:rPr>
                <w:b/>
              </w:rPr>
            </w:pPr>
            <w:r w:rsidRPr="005A3559">
              <w:rPr>
                <w:b/>
              </w:rPr>
              <w:t>Badany obszar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</w:rPr>
            </w:pPr>
          </w:p>
          <w:p w:rsidR="00D0171C" w:rsidRPr="005A3559" w:rsidRDefault="00D0171C">
            <w:pPr>
              <w:rPr>
                <w:b/>
              </w:rPr>
            </w:pPr>
            <w:r w:rsidRPr="005A3559">
              <w:rPr>
                <w:b/>
              </w:rPr>
              <w:t>Procedura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 w:rsidP="005A3559">
            <w:pPr>
              <w:spacing w:after="0"/>
              <w:rPr>
                <w:b/>
              </w:rPr>
            </w:pPr>
          </w:p>
          <w:p w:rsidR="00D0171C" w:rsidRPr="005A3559" w:rsidRDefault="00D0171C" w:rsidP="005A3559">
            <w:pPr>
              <w:spacing w:after="0"/>
              <w:rPr>
                <w:b/>
              </w:rPr>
            </w:pPr>
            <w:r w:rsidRPr="005A3559">
              <w:rPr>
                <w:b/>
              </w:rPr>
              <w:t>Metoda</w:t>
            </w:r>
          </w:p>
          <w:p w:rsidR="00D0171C" w:rsidRPr="005A3559" w:rsidRDefault="00D0171C" w:rsidP="005A3559">
            <w:pPr>
              <w:spacing w:after="0"/>
              <w:rPr>
                <w:b/>
              </w:rPr>
            </w:pPr>
            <w:r w:rsidRPr="005A3559">
              <w:rPr>
                <w:b/>
              </w:rPr>
              <w:t>i kryteria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 w:rsidP="005A3559">
            <w:pPr>
              <w:spacing w:after="0"/>
              <w:rPr>
                <w:b/>
              </w:rPr>
            </w:pPr>
          </w:p>
          <w:p w:rsidR="00D0171C" w:rsidRPr="005A3559" w:rsidRDefault="00D0171C" w:rsidP="005A3559">
            <w:pPr>
              <w:spacing w:after="0"/>
              <w:rPr>
                <w:b/>
              </w:rPr>
            </w:pPr>
            <w:r w:rsidRPr="005A3559">
              <w:rPr>
                <w:b/>
              </w:rPr>
              <w:t>Częstotliwość</w:t>
            </w:r>
          </w:p>
          <w:p w:rsidR="00D0171C" w:rsidRPr="005A3559" w:rsidRDefault="00D0171C" w:rsidP="005A3559">
            <w:pPr>
              <w:spacing w:after="0"/>
              <w:rPr>
                <w:b/>
              </w:rPr>
            </w:pPr>
            <w:r w:rsidRPr="005A3559">
              <w:rPr>
                <w:b/>
              </w:rPr>
              <w:t>badania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 w:rsidP="005A3559">
            <w:pPr>
              <w:spacing w:after="0"/>
              <w:rPr>
                <w:b/>
              </w:rPr>
            </w:pPr>
          </w:p>
          <w:p w:rsidR="00D0171C" w:rsidRPr="005A3559" w:rsidRDefault="00D0171C" w:rsidP="005A3559">
            <w:pPr>
              <w:spacing w:after="0"/>
              <w:rPr>
                <w:b/>
              </w:rPr>
            </w:pPr>
            <w:r w:rsidRPr="005A3559">
              <w:rPr>
                <w:b/>
              </w:rPr>
              <w:t xml:space="preserve">Dokumentacja </w:t>
            </w:r>
          </w:p>
          <w:p w:rsidR="00D0171C" w:rsidRPr="005A3559" w:rsidRDefault="00D0171C" w:rsidP="005A3559">
            <w:pPr>
              <w:spacing w:after="0"/>
              <w:rPr>
                <w:b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 w:rsidP="005A3559">
            <w:pPr>
              <w:spacing w:after="0"/>
              <w:jc w:val="center"/>
              <w:rPr>
                <w:b/>
              </w:rPr>
            </w:pPr>
            <w:r w:rsidRPr="005A3559">
              <w:rPr>
                <w:b/>
              </w:rPr>
              <w:t>Zespoły/osoby</w:t>
            </w:r>
          </w:p>
        </w:tc>
      </w:tr>
      <w:tr w:rsidR="00D0171C" w:rsidRPr="005A3559" w:rsidTr="005A3559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C" w:rsidRPr="005A3559" w:rsidRDefault="00D0171C" w:rsidP="005A355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C" w:rsidRPr="005A3559" w:rsidRDefault="00D0171C" w:rsidP="005A355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C" w:rsidRPr="005A3559" w:rsidRDefault="00D0171C" w:rsidP="005A355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C" w:rsidRPr="005A3559" w:rsidRDefault="00D0171C" w:rsidP="005A3559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C" w:rsidRPr="005A3559" w:rsidRDefault="00D0171C" w:rsidP="005A3559">
            <w:pPr>
              <w:spacing w:after="0" w:line="240" w:lineRule="auto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 w:rsidP="005A3559">
            <w:pPr>
              <w:spacing w:after="0"/>
              <w:rPr>
                <w:b/>
              </w:rPr>
            </w:pPr>
          </w:p>
          <w:p w:rsidR="00D0171C" w:rsidRPr="005A3559" w:rsidRDefault="00D0171C" w:rsidP="005A3559">
            <w:pPr>
              <w:spacing w:after="0"/>
              <w:rPr>
                <w:b/>
              </w:rPr>
            </w:pPr>
            <w:r w:rsidRPr="005A3559">
              <w:rPr>
                <w:b/>
              </w:rPr>
              <w:t>monitorujące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</w:rPr>
            </w:pPr>
            <w:r w:rsidRPr="005A3559">
              <w:rPr>
                <w:b/>
              </w:rPr>
              <w:t>podejmujące decyzje</w:t>
            </w:r>
          </w:p>
        </w:tc>
      </w:tr>
      <w:tr w:rsidR="00D0171C" w:rsidRPr="005A3559" w:rsidTr="005A35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</w:tr>
      <w:tr w:rsidR="00D0171C" w:rsidRPr="005A3559" w:rsidTr="005A35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</w:tr>
      <w:tr w:rsidR="00D0171C" w:rsidRPr="005A3559" w:rsidTr="005A3559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</w:tr>
    </w:tbl>
    <w:p w:rsidR="00F71564" w:rsidRDefault="00F71564" w:rsidP="00F71564">
      <w:pPr>
        <w:rPr>
          <w:rFonts w:ascii="Times New Roman" w:hAnsi="Times New Roman"/>
          <w:sz w:val="24"/>
          <w:szCs w:val="24"/>
        </w:rPr>
      </w:pPr>
    </w:p>
    <w:p w:rsidR="00F71564" w:rsidRPr="001715FC" w:rsidRDefault="001715FC" w:rsidP="00F715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0171C" w:rsidRPr="00BD62FA" w:rsidRDefault="00D0171C" w:rsidP="00F71564">
      <w:pPr>
        <w:rPr>
          <w:rFonts w:ascii="Times New Roman" w:hAnsi="Times New Roman"/>
          <w:b/>
          <w:sz w:val="24"/>
          <w:szCs w:val="24"/>
          <w:u w:val="single"/>
        </w:rPr>
      </w:pPr>
      <w:r w:rsidRPr="00BD62FA">
        <w:rPr>
          <w:rFonts w:ascii="Times New Roman" w:hAnsi="Times New Roman"/>
          <w:b/>
          <w:sz w:val="24"/>
          <w:szCs w:val="24"/>
          <w:u w:val="single"/>
        </w:rPr>
        <w:t xml:space="preserve">Załącznik nr  </w:t>
      </w:r>
      <w:r w:rsidR="00140CD6"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D0171C" w:rsidRDefault="00D0171C" w:rsidP="00F715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Efektywność wewnętrznego systemu zapewnienia jakości kształcenia w odniesieniu do obszarów wymagających działań korygujących, naprawczych lub doskonalących wskazanych podczas poprzedniej oceny instytucjonalnej dokonanej przez Polską Komisję Akredytacyjną </w:t>
      </w:r>
    </w:p>
    <w:p w:rsidR="00D0171C" w:rsidRDefault="00D0171C" w:rsidP="00D01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171C" w:rsidRDefault="00D0171C" w:rsidP="00D017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Tabela nr 1 </w:t>
      </w:r>
      <w:r w:rsidR="00F715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Studia wyższe pierwszego i drugiego stopnia, jednolite studia magisterskie</w:t>
      </w:r>
    </w:p>
    <w:tbl>
      <w:tblPr>
        <w:tblW w:w="503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1734"/>
        <w:gridCol w:w="1399"/>
        <w:gridCol w:w="1146"/>
        <w:gridCol w:w="1334"/>
        <w:gridCol w:w="1653"/>
        <w:gridCol w:w="1021"/>
      </w:tblGrid>
      <w:tr w:rsidR="00D0171C" w:rsidRPr="005A3559" w:rsidTr="005A3559">
        <w:trPr>
          <w:trHeight w:val="547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  <w:sz w:val="24"/>
                <w:szCs w:val="24"/>
              </w:rPr>
            </w:pPr>
          </w:p>
          <w:p w:rsidR="00D0171C" w:rsidRPr="005A3559" w:rsidRDefault="00D0171C">
            <w:pPr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Badany obszar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Ocena w poprzednim badaniu</w:t>
            </w:r>
          </w:p>
        </w:tc>
        <w:tc>
          <w:tcPr>
            <w:tcW w:w="2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 w:rsidP="005A355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Wyniki badania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 w:rsidP="005A3559">
            <w:pPr>
              <w:spacing w:after="0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Wyniki powtórnego badania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 w:rsidP="005A3559">
            <w:pPr>
              <w:spacing w:after="0"/>
              <w:rPr>
                <w:b/>
                <w:sz w:val="24"/>
                <w:szCs w:val="24"/>
              </w:rPr>
            </w:pPr>
          </w:p>
          <w:p w:rsidR="00D0171C" w:rsidRPr="005A3559" w:rsidRDefault="00D0171C" w:rsidP="005A3559">
            <w:pPr>
              <w:spacing w:after="0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Wnioski</w:t>
            </w:r>
          </w:p>
        </w:tc>
      </w:tr>
      <w:tr w:rsidR="00D0171C" w:rsidRPr="005A3559" w:rsidTr="005A3559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C" w:rsidRPr="005A3559" w:rsidRDefault="00D0171C" w:rsidP="005A35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C" w:rsidRPr="005A3559" w:rsidRDefault="00D0171C" w:rsidP="005A35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 w:rsidP="005A3559">
            <w:pPr>
              <w:jc w:val="center"/>
              <w:rPr>
                <w:b/>
              </w:rPr>
            </w:pPr>
            <w:r w:rsidRPr="005A3559">
              <w:rPr>
                <w:b/>
              </w:rPr>
              <w:t>stwierdzone uchybienia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 w:rsidP="005A355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0171C" w:rsidRPr="005A3559" w:rsidRDefault="00D0171C" w:rsidP="005A355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zalecenia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 w:rsidP="005A3559">
            <w:pPr>
              <w:spacing w:after="0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terminy</w:t>
            </w:r>
          </w:p>
          <w:p w:rsidR="00D0171C" w:rsidRPr="005A3559" w:rsidRDefault="00D0171C">
            <w:pPr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wykonania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C" w:rsidRPr="005A3559" w:rsidRDefault="00D0171C" w:rsidP="005A35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C" w:rsidRPr="005A3559" w:rsidRDefault="00D0171C" w:rsidP="005A35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171C" w:rsidRPr="005A3559" w:rsidTr="005A355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  <w:sz w:val="24"/>
                <w:szCs w:val="24"/>
              </w:rPr>
            </w:pPr>
          </w:p>
        </w:tc>
      </w:tr>
      <w:tr w:rsidR="00D0171C" w:rsidRPr="005A3559" w:rsidTr="005A355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</w:tr>
      <w:tr w:rsidR="00D0171C" w:rsidRPr="005A3559" w:rsidTr="005A355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</w:tr>
    </w:tbl>
    <w:p w:rsidR="00D0171C" w:rsidRDefault="00D0171C" w:rsidP="00D0171C">
      <w:pPr>
        <w:rPr>
          <w:rFonts w:ascii="Times New Roman" w:hAnsi="Times New Roman"/>
          <w:sz w:val="24"/>
          <w:szCs w:val="24"/>
        </w:rPr>
      </w:pPr>
    </w:p>
    <w:p w:rsidR="00407290" w:rsidRDefault="00407290" w:rsidP="00D0171C">
      <w:pPr>
        <w:rPr>
          <w:rFonts w:ascii="Times New Roman" w:hAnsi="Times New Roman"/>
          <w:sz w:val="24"/>
          <w:szCs w:val="24"/>
        </w:rPr>
      </w:pPr>
    </w:p>
    <w:p w:rsidR="00407290" w:rsidRDefault="00407290" w:rsidP="00D0171C">
      <w:pPr>
        <w:rPr>
          <w:rFonts w:ascii="Times New Roman" w:hAnsi="Times New Roman"/>
          <w:sz w:val="24"/>
          <w:szCs w:val="24"/>
        </w:rPr>
      </w:pPr>
    </w:p>
    <w:p w:rsidR="00407290" w:rsidRDefault="00407290" w:rsidP="00D0171C">
      <w:pPr>
        <w:rPr>
          <w:rFonts w:ascii="Times New Roman" w:hAnsi="Times New Roman"/>
          <w:sz w:val="24"/>
          <w:szCs w:val="24"/>
        </w:rPr>
      </w:pPr>
    </w:p>
    <w:p w:rsidR="00407290" w:rsidRDefault="00407290" w:rsidP="00D0171C">
      <w:pPr>
        <w:rPr>
          <w:rFonts w:ascii="Times New Roman" w:hAnsi="Times New Roman"/>
          <w:sz w:val="24"/>
          <w:szCs w:val="24"/>
        </w:rPr>
      </w:pPr>
    </w:p>
    <w:p w:rsidR="00407290" w:rsidRDefault="00407290" w:rsidP="00D0171C">
      <w:pPr>
        <w:rPr>
          <w:rFonts w:ascii="Times New Roman" w:hAnsi="Times New Roman"/>
          <w:sz w:val="24"/>
          <w:szCs w:val="24"/>
        </w:rPr>
      </w:pPr>
    </w:p>
    <w:p w:rsidR="00D0171C" w:rsidRDefault="00D0171C" w:rsidP="00D017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Tabela nr 2  Studia doktoranckie </w:t>
      </w:r>
    </w:p>
    <w:tbl>
      <w:tblPr>
        <w:tblW w:w="503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1734"/>
        <w:gridCol w:w="1399"/>
        <w:gridCol w:w="1146"/>
        <w:gridCol w:w="1334"/>
        <w:gridCol w:w="1653"/>
        <w:gridCol w:w="1021"/>
      </w:tblGrid>
      <w:tr w:rsidR="00D0171C" w:rsidRPr="005A3559" w:rsidTr="005A3559">
        <w:trPr>
          <w:trHeight w:val="547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  <w:sz w:val="24"/>
                <w:szCs w:val="24"/>
              </w:rPr>
            </w:pPr>
          </w:p>
          <w:p w:rsidR="00D0171C" w:rsidRPr="005A3559" w:rsidRDefault="00D0171C">
            <w:pPr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Badany obszar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Ocena w poprzednim badaniu</w:t>
            </w:r>
          </w:p>
        </w:tc>
        <w:tc>
          <w:tcPr>
            <w:tcW w:w="2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 w:rsidP="005A355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Wyniki badania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 w:rsidP="005A3559">
            <w:pPr>
              <w:spacing w:after="0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Wyniki powtórnego badania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 w:rsidP="005A3559">
            <w:pPr>
              <w:spacing w:after="0"/>
              <w:rPr>
                <w:b/>
                <w:sz w:val="24"/>
                <w:szCs w:val="24"/>
              </w:rPr>
            </w:pPr>
          </w:p>
          <w:p w:rsidR="00D0171C" w:rsidRPr="005A3559" w:rsidRDefault="00D0171C" w:rsidP="005A3559">
            <w:pPr>
              <w:spacing w:after="0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Wnioski</w:t>
            </w:r>
          </w:p>
        </w:tc>
      </w:tr>
      <w:tr w:rsidR="00D0171C" w:rsidRPr="005A3559" w:rsidTr="005A3559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C" w:rsidRPr="005A3559" w:rsidRDefault="00D0171C" w:rsidP="005A35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C" w:rsidRPr="005A3559" w:rsidRDefault="00D0171C" w:rsidP="005A35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 w:rsidP="005A3559">
            <w:pPr>
              <w:jc w:val="center"/>
              <w:rPr>
                <w:b/>
              </w:rPr>
            </w:pPr>
            <w:r w:rsidRPr="005A3559">
              <w:rPr>
                <w:b/>
              </w:rPr>
              <w:t>stwierdzone uchybienia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 w:rsidP="005A355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0171C" w:rsidRPr="005A3559" w:rsidRDefault="00D0171C" w:rsidP="005A355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zalecenia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 w:rsidP="005A3559">
            <w:pPr>
              <w:spacing w:after="0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terminy</w:t>
            </w:r>
          </w:p>
          <w:p w:rsidR="00D0171C" w:rsidRPr="005A3559" w:rsidRDefault="00D0171C">
            <w:pPr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wykonania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C" w:rsidRPr="005A3559" w:rsidRDefault="00D0171C" w:rsidP="005A35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C" w:rsidRPr="005A3559" w:rsidRDefault="00D0171C" w:rsidP="005A35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171C" w:rsidRPr="005A3559" w:rsidTr="005A355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  <w:sz w:val="24"/>
                <w:szCs w:val="24"/>
              </w:rPr>
            </w:pPr>
          </w:p>
        </w:tc>
      </w:tr>
      <w:tr w:rsidR="00D0171C" w:rsidRPr="005A3559" w:rsidTr="005A355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</w:tr>
      <w:tr w:rsidR="00D0171C" w:rsidRPr="005A3559" w:rsidTr="005A355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</w:tr>
    </w:tbl>
    <w:p w:rsidR="00D0171C" w:rsidRDefault="00D0171C" w:rsidP="00D0171C">
      <w:pPr>
        <w:rPr>
          <w:rFonts w:ascii="Times New Roman" w:hAnsi="Times New Roman"/>
          <w:sz w:val="24"/>
          <w:szCs w:val="24"/>
        </w:rPr>
      </w:pPr>
    </w:p>
    <w:p w:rsidR="00D0171C" w:rsidRDefault="00D0171C" w:rsidP="00D017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Tabela nr </w:t>
      </w:r>
      <w:r w:rsidR="00307CE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Studia podyplomowe </w:t>
      </w:r>
    </w:p>
    <w:tbl>
      <w:tblPr>
        <w:tblW w:w="503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1734"/>
        <w:gridCol w:w="1399"/>
        <w:gridCol w:w="1146"/>
        <w:gridCol w:w="1334"/>
        <w:gridCol w:w="1653"/>
        <w:gridCol w:w="1021"/>
      </w:tblGrid>
      <w:tr w:rsidR="00D0171C" w:rsidRPr="005A3559" w:rsidTr="005A3559">
        <w:trPr>
          <w:trHeight w:val="547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  <w:sz w:val="24"/>
                <w:szCs w:val="24"/>
              </w:rPr>
            </w:pPr>
          </w:p>
          <w:p w:rsidR="00D0171C" w:rsidRPr="005A3559" w:rsidRDefault="00D0171C">
            <w:pPr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Badany obszar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Ocena w poprzednim badaniu</w:t>
            </w:r>
          </w:p>
        </w:tc>
        <w:tc>
          <w:tcPr>
            <w:tcW w:w="2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 w:rsidP="005A355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Wyniki badania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 w:rsidP="005A3559">
            <w:pPr>
              <w:spacing w:after="0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Wyniki powtórnego badania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 w:rsidP="005A3559">
            <w:pPr>
              <w:spacing w:after="0"/>
              <w:rPr>
                <w:b/>
                <w:sz w:val="24"/>
                <w:szCs w:val="24"/>
              </w:rPr>
            </w:pPr>
          </w:p>
          <w:p w:rsidR="00D0171C" w:rsidRPr="005A3559" w:rsidRDefault="00D0171C" w:rsidP="005A3559">
            <w:pPr>
              <w:spacing w:after="0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Wnioski</w:t>
            </w:r>
          </w:p>
        </w:tc>
      </w:tr>
      <w:tr w:rsidR="00D0171C" w:rsidRPr="005A3559" w:rsidTr="005A3559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C" w:rsidRPr="005A3559" w:rsidRDefault="00D0171C" w:rsidP="005A35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C" w:rsidRPr="005A3559" w:rsidRDefault="00D0171C" w:rsidP="005A35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 w:rsidP="005A3559">
            <w:pPr>
              <w:jc w:val="center"/>
              <w:rPr>
                <w:b/>
              </w:rPr>
            </w:pPr>
            <w:r w:rsidRPr="005A3559">
              <w:rPr>
                <w:b/>
              </w:rPr>
              <w:t>stwierdzone uchybienia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 w:rsidP="005A355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D0171C" w:rsidRPr="005A3559" w:rsidRDefault="00D0171C" w:rsidP="005A355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zalecenia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 w:rsidP="005A3559">
            <w:pPr>
              <w:spacing w:after="0"/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terminy</w:t>
            </w:r>
          </w:p>
          <w:p w:rsidR="00D0171C" w:rsidRPr="005A3559" w:rsidRDefault="00D0171C">
            <w:pPr>
              <w:rPr>
                <w:b/>
                <w:sz w:val="24"/>
                <w:szCs w:val="24"/>
              </w:rPr>
            </w:pPr>
            <w:r w:rsidRPr="005A3559">
              <w:rPr>
                <w:b/>
                <w:sz w:val="24"/>
                <w:szCs w:val="24"/>
              </w:rPr>
              <w:t>wykonania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C" w:rsidRPr="005A3559" w:rsidRDefault="00D0171C" w:rsidP="005A35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C" w:rsidRPr="005A3559" w:rsidRDefault="00D0171C" w:rsidP="005A355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0171C" w:rsidRPr="005A3559" w:rsidTr="005A355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b/>
                <w:sz w:val="24"/>
                <w:szCs w:val="24"/>
              </w:rPr>
            </w:pPr>
          </w:p>
        </w:tc>
      </w:tr>
      <w:tr w:rsidR="00D0171C" w:rsidRPr="005A3559" w:rsidTr="005A355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</w:tr>
      <w:tr w:rsidR="00D0171C" w:rsidRPr="005A3559" w:rsidTr="005A3559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5A3559" w:rsidRDefault="00D0171C">
            <w:pPr>
              <w:rPr>
                <w:sz w:val="24"/>
                <w:szCs w:val="24"/>
              </w:rPr>
            </w:pPr>
          </w:p>
        </w:tc>
      </w:tr>
    </w:tbl>
    <w:p w:rsidR="00E37F3C" w:rsidRDefault="00E37F3C" w:rsidP="008C6A17"/>
    <w:sectPr w:rsidR="00E37F3C" w:rsidSect="00E33EE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A6" w:rsidRDefault="007A44A6">
      <w:r>
        <w:separator/>
      </w:r>
    </w:p>
  </w:endnote>
  <w:endnote w:type="continuationSeparator" w:id="0">
    <w:p w:rsidR="007A44A6" w:rsidRDefault="007A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D5" w:rsidRDefault="006C65D5" w:rsidP="003E01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65D5" w:rsidRDefault="006C65D5" w:rsidP="00E33E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D5" w:rsidRDefault="006C65D5" w:rsidP="003E01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31E1">
      <w:rPr>
        <w:rStyle w:val="Numerstrony"/>
        <w:noProof/>
      </w:rPr>
      <w:t>9</w:t>
    </w:r>
    <w:r>
      <w:rPr>
        <w:rStyle w:val="Numerstrony"/>
      </w:rPr>
      <w:fldChar w:fldCharType="end"/>
    </w:r>
  </w:p>
  <w:p w:rsidR="006C65D5" w:rsidRDefault="006C65D5" w:rsidP="00E33E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A6" w:rsidRDefault="007A44A6">
      <w:r>
        <w:separator/>
      </w:r>
    </w:p>
  </w:footnote>
  <w:footnote w:type="continuationSeparator" w:id="0">
    <w:p w:rsidR="007A44A6" w:rsidRDefault="007A44A6">
      <w:r>
        <w:continuationSeparator/>
      </w:r>
    </w:p>
  </w:footnote>
  <w:footnote w:id="1">
    <w:p w:rsidR="00A26616" w:rsidRDefault="00A26616">
      <w:pPr>
        <w:pStyle w:val="Tekstprzypisudolnego"/>
      </w:pPr>
      <w:r>
        <w:rPr>
          <w:rStyle w:val="Odwoanieprzypisudolnego"/>
        </w:rPr>
        <w:footnoteRef/>
      </w:r>
      <w:r>
        <w:t xml:space="preserve"> Punkty 1 – 8 </w:t>
      </w:r>
      <w:r w:rsidR="00FE4F37">
        <w:t xml:space="preserve">wraz z podpunktami </w:t>
      </w:r>
      <w:r>
        <w:t xml:space="preserve">odpowiadają kryteriom </w:t>
      </w:r>
      <w:r w:rsidR="00FE4F37">
        <w:t xml:space="preserve">określonym w </w:t>
      </w:r>
      <w:r w:rsidR="00CA6611">
        <w:t>S</w:t>
      </w:r>
      <w:r w:rsidR="00FE4F37">
        <w:t xml:space="preserve">tatucie </w:t>
      </w:r>
      <w:r>
        <w:t>Polsk</w:t>
      </w:r>
      <w:r w:rsidR="00FE4F37">
        <w:t>iej</w:t>
      </w:r>
      <w:r>
        <w:t xml:space="preserve"> Komisj</w:t>
      </w:r>
      <w:r w:rsidR="00FE4F37">
        <w:t>i</w:t>
      </w:r>
      <w:r>
        <w:t xml:space="preserve"> Akredytacyjn</w:t>
      </w:r>
      <w:r w:rsidR="00FE4F37">
        <w:t>ej</w:t>
      </w:r>
      <w:r>
        <w:t>.</w:t>
      </w:r>
    </w:p>
  </w:footnote>
  <w:footnote w:id="2">
    <w:p w:rsidR="006C65D5" w:rsidRPr="00FB2A0A" w:rsidRDefault="006C65D5" w:rsidP="00F34881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B2A0A">
        <w:rPr>
          <w:rStyle w:val="Odwoanieprzypisudolnego"/>
        </w:rPr>
        <w:footnoteRef/>
      </w:r>
      <w:r w:rsidRPr="00FB2A0A">
        <w:t xml:space="preserve"> </w:t>
      </w:r>
      <w:r w:rsidRPr="00C669B3">
        <w:rPr>
          <w:rFonts w:ascii="Times New Roman" w:hAnsi="Times New Roman"/>
          <w:sz w:val="18"/>
          <w:szCs w:val="18"/>
        </w:rPr>
        <w:t xml:space="preserve">użyte określenia: działalność naukowo-badawcza, dorobek naukowy, obszar </w:t>
      </w:r>
      <w:r w:rsidR="00FB2A0A" w:rsidRPr="00C669B3">
        <w:rPr>
          <w:rFonts w:ascii="Times New Roman" w:hAnsi="Times New Roman"/>
          <w:sz w:val="18"/>
          <w:szCs w:val="18"/>
        </w:rPr>
        <w:t>wiedzy</w:t>
      </w:r>
      <w:r w:rsidRPr="00C669B3">
        <w:rPr>
          <w:rFonts w:ascii="Times New Roman" w:hAnsi="Times New Roman"/>
          <w:sz w:val="18"/>
          <w:szCs w:val="18"/>
        </w:rPr>
        <w:t xml:space="preserve">, dziedzina </w:t>
      </w:r>
      <w:r w:rsidR="00FB2A0A" w:rsidRPr="00C669B3">
        <w:rPr>
          <w:rFonts w:ascii="Times New Roman" w:hAnsi="Times New Roman"/>
          <w:sz w:val="18"/>
          <w:szCs w:val="18"/>
        </w:rPr>
        <w:t>nauki,</w:t>
      </w:r>
      <w:r w:rsidRPr="00C669B3">
        <w:rPr>
          <w:rFonts w:ascii="Times New Roman" w:hAnsi="Times New Roman"/>
          <w:sz w:val="18"/>
          <w:szCs w:val="18"/>
        </w:rPr>
        <w:t xml:space="preserve"> dyscyplina naukowa, stopień i tytuł naukowy oznaczają odpowiednio: działalność i dorobek artystyczny, obszar sztuki, dziedziny </w:t>
      </w:r>
      <w:r w:rsidR="00CA6611">
        <w:rPr>
          <w:rFonts w:ascii="Times New Roman" w:hAnsi="Times New Roman"/>
          <w:sz w:val="18"/>
          <w:szCs w:val="18"/>
        </w:rPr>
        <w:t>sztuki</w:t>
      </w:r>
      <w:r w:rsidR="00FB2A0A" w:rsidRPr="00C669B3">
        <w:rPr>
          <w:rFonts w:ascii="Times New Roman" w:hAnsi="Times New Roman"/>
          <w:sz w:val="18"/>
          <w:szCs w:val="18"/>
        </w:rPr>
        <w:t>,</w:t>
      </w:r>
      <w:r w:rsidRPr="00C669B3">
        <w:rPr>
          <w:rFonts w:ascii="Times New Roman" w:hAnsi="Times New Roman"/>
          <w:sz w:val="18"/>
          <w:szCs w:val="18"/>
        </w:rPr>
        <w:t xml:space="preserve"> dyscypliny artyst</w:t>
      </w:r>
      <w:r w:rsidR="00FB2A0A" w:rsidRPr="00C669B3">
        <w:rPr>
          <w:rFonts w:ascii="Times New Roman" w:hAnsi="Times New Roman"/>
          <w:sz w:val="18"/>
          <w:szCs w:val="18"/>
        </w:rPr>
        <w:t>yczne</w:t>
      </w:r>
      <w:r w:rsidRPr="00C669B3">
        <w:rPr>
          <w:rFonts w:ascii="Times New Roman" w:hAnsi="Times New Roman"/>
          <w:sz w:val="18"/>
          <w:szCs w:val="18"/>
        </w:rPr>
        <w:t xml:space="preserve"> oraz stopień i tytuł w zakresie sztuki;</w:t>
      </w:r>
    </w:p>
  </w:footnote>
  <w:footnote w:id="3">
    <w:p w:rsidR="00B73BB7" w:rsidRDefault="00B73B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A6611">
        <w:rPr>
          <w:sz w:val="18"/>
          <w:szCs w:val="18"/>
        </w:rPr>
        <w:t>n</w:t>
      </w:r>
      <w:r w:rsidRPr="00B73BB7">
        <w:rPr>
          <w:sz w:val="18"/>
          <w:szCs w:val="18"/>
        </w:rPr>
        <w:t>ależy także uwzględnić studentów jednolitych studiów magisterskich</w:t>
      </w:r>
      <w:r w:rsidR="00CA6611">
        <w:rPr>
          <w:sz w:val="18"/>
          <w:szCs w:val="18"/>
        </w:rPr>
        <w:t>;</w:t>
      </w:r>
    </w:p>
  </w:footnote>
  <w:footnote w:id="4">
    <w:p w:rsidR="006C65D5" w:rsidRDefault="006C65D5">
      <w:pPr>
        <w:pStyle w:val="Tekstprzypisudolnego"/>
      </w:pPr>
      <w:r w:rsidRPr="00FB2A0A">
        <w:rPr>
          <w:rStyle w:val="Odwoanieprzypisudolnego"/>
        </w:rPr>
        <w:footnoteRef/>
      </w:r>
      <w:r w:rsidRPr="00FB2A0A">
        <w:t xml:space="preserve"> </w:t>
      </w:r>
      <w:r w:rsidRPr="00FB2A0A">
        <w:rPr>
          <w:sz w:val="18"/>
          <w:szCs w:val="18"/>
        </w:rPr>
        <w:t>według  przyjętej skali ocen: wyróżniająco, w pełni, znacząco, częściowo, niedostatecznie.</w:t>
      </w:r>
    </w:p>
  </w:footnote>
  <w:footnote w:id="5">
    <w:p w:rsidR="006226FB" w:rsidRDefault="006226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A6611">
        <w:t>j</w:t>
      </w:r>
      <w:r>
        <w:t>eżeli w jednostce prowadzone są tylko studia doktoranckie wpisujemy i oceniamy „cele i efekty kształcenia na studiach doktoranckich”. Jeśli prowadzone są tylko studia podyplomowe wpisujemy i oceniamy „cele i efekty kształcenia na studiach podyplomowych”.  Jeżeli nie są prowadzone żadne z tych studiów w rubryce oceny wpisujemy „nie dotyczy”.</w:t>
      </w:r>
    </w:p>
  </w:footnote>
  <w:footnote w:id="6">
    <w:p w:rsidR="006226FB" w:rsidRDefault="006226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A6611">
        <w:t>k</w:t>
      </w:r>
      <w:r>
        <w:t>ryterium 3 i 7 należy skorelować.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3F8"/>
    <w:multiLevelType w:val="hybridMultilevel"/>
    <w:tmpl w:val="7988E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106D6"/>
    <w:multiLevelType w:val="hybridMultilevel"/>
    <w:tmpl w:val="D960B0F8"/>
    <w:lvl w:ilvl="0" w:tplc="5290BED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26DE7"/>
    <w:multiLevelType w:val="hybridMultilevel"/>
    <w:tmpl w:val="EE2EE2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4112EEB"/>
    <w:multiLevelType w:val="hybridMultilevel"/>
    <w:tmpl w:val="A4062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33175"/>
    <w:multiLevelType w:val="hybridMultilevel"/>
    <w:tmpl w:val="30F238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075F3"/>
    <w:multiLevelType w:val="hybridMultilevel"/>
    <w:tmpl w:val="8C36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D17AC"/>
    <w:multiLevelType w:val="hybridMultilevel"/>
    <w:tmpl w:val="95F2E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84220"/>
    <w:multiLevelType w:val="hybridMultilevel"/>
    <w:tmpl w:val="FB441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E44FD"/>
    <w:multiLevelType w:val="hybridMultilevel"/>
    <w:tmpl w:val="13C24AD8"/>
    <w:lvl w:ilvl="0" w:tplc="EE4A1B5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41F92"/>
    <w:multiLevelType w:val="hybridMultilevel"/>
    <w:tmpl w:val="CFBC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4061C"/>
    <w:multiLevelType w:val="hybridMultilevel"/>
    <w:tmpl w:val="0AAE0E0C"/>
    <w:lvl w:ilvl="0" w:tplc="5290BED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775AF7"/>
    <w:multiLevelType w:val="hybridMultilevel"/>
    <w:tmpl w:val="1E28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9355C"/>
    <w:multiLevelType w:val="hybridMultilevel"/>
    <w:tmpl w:val="7E6C8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97EC1"/>
    <w:multiLevelType w:val="hybridMultilevel"/>
    <w:tmpl w:val="32DC9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05ACC"/>
    <w:multiLevelType w:val="hybridMultilevel"/>
    <w:tmpl w:val="1FC66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E411A"/>
    <w:multiLevelType w:val="hybridMultilevel"/>
    <w:tmpl w:val="7032A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F9777E"/>
    <w:multiLevelType w:val="hybridMultilevel"/>
    <w:tmpl w:val="3348A3BE"/>
    <w:lvl w:ilvl="0" w:tplc="1EE24F22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F9F2877"/>
    <w:multiLevelType w:val="hybridMultilevel"/>
    <w:tmpl w:val="B750FA1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FC3520A"/>
    <w:multiLevelType w:val="hybridMultilevel"/>
    <w:tmpl w:val="B7EECB2C"/>
    <w:lvl w:ilvl="0" w:tplc="F678F34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B3217"/>
    <w:multiLevelType w:val="hybridMultilevel"/>
    <w:tmpl w:val="AFE8D044"/>
    <w:lvl w:ilvl="0" w:tplc="B1C43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5224D"/>
    <w:multiLevelType w:val="hybridMultilevel"/>
    <w:tmpl w:val="F7A29272"/>
    <w:lvl w:ilvl="0" w:tplc="8E748E6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51EF7"/>
    <w:multiLevelType w:val="hybridMultilevel"/>
    <w:tmpl w:val="4FA60B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BF079D3"/>
    <w:multiLevelType w:val="hybridMultilevel"/>
    <w:tmpl w:val="29A04466"/>
    <w:lvl w:ilvl="0" w:tplc="79309DF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C522AB0"/>
    <w:multiLevelType w:val="hybridMultilevel"/>
    <w:tmpl w:val="D662E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  <w:num w:numId="13">
    <w:abstractNumId w:val="23"/>
  </w:num>
  <w:num w:numId="14">
    <w:abstractNumId w:val="5"/>
  </w:num>
  <w:num w:numId="15">
    <w:abstractNumId w:val="2"/>
  </w:num>
  <w:num w:numId="16">
    <w:abstractNumId w:val="0"/>
  </w:num>
  <w:num w:numId="17">
    <w:abstractNumId w:val="7"/>
  </w:num>
  <w:num w:numId="18">
    <w:abstractNumId w:val="11"/>
  </w:num>
  <w:num w:numId="19">
    <w:abstractNumId w:val="16"/>
  </w:num>
  <w:num w:numId="20">
    <w:abstractNumId w:val="21"/>
  </w:num>
  <w:num w:numId="21">
    <w:abstractNumId w:val="20"/>
  </w:num>
  <w:num w:numId="22">
    <w:abstractNumId w:val="6"/>
  </w:num>
  <w:num w:numId="23">
    <w:abstractNumId w:val="3"/>
  </w:num>
  <w:num w:numId="24">
    <w:abstractNumId w:val="13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1C"/>
    <w:rsid w:val="0005036B"/>
    <w:rsid w:val="00066F9F"/>
    <w:rsid w:val="00071A11"/>
    <w:rsid w:val="000E0414"/>
    <w:rsid w:val="001203FC"/>
    <w:rsid w:val="001269B9"/>
    <w:rsid w:val="00140CD6"/>
    <w:rsid w:val="00144979"/>
    <w:rsid w:val="001619A4"/>
    <w:rsid w:val="001715FC"/>
    <w:rsid w:val="001845F8"/>
    <w:rsid w:val="002577CF"/>
    <w:rsid w:val="00261782"/>
    <w:rsid w:val="002A46D7"/>
    <w:rsid w:val="002C256D"/>
    <w:rsid w:val="002E549B"/>
    <w:rsid w:val="002E7BC5"/>
    <w:rsid w:val="002F2156"/>
    <w:rsid w:val="00305593"/>
    <w:rsid w:val="00307CEE"/>
    <w:rsid w:val="003232B8"/>
    <w:rsid w:val="003851A9"/>
    <w:rsid w:val="00396DAF"/>
    <w:rsid w:val="003B6F10"/>
    <w:rsid w:val="003E0170"/>
    <w:rsid w:val="003E5190"/>
    <w:rsid w:val="00407290"/>
    <w:rsid w:val="00452362"/>
    <w:rsid w:val="00456DE7"/>
    <w:rsid w:val="004B0117"/>
    <w:rsid w:val="004B6325"/>
    <w:rsid w:val="004D3423"/>
    <w:rsid w:val="00513246"/>
    <w:rsid w:val="005311E3"/>
    <w:rsid w:val="00575B35"/>
    <w:rsid w:val="005A3559"/>
    <w:rsid w:val="006016D4"/>
    <w:rsid w:val="006226FB"/>
    <w:rsid w:val="006A3B2D"/>
    <w:rsid w:val="006B75F4"/>
    <w:rsid w:val="006C65D5"/>
    <w:rsid w:val="00750E54"/>
    <w:rsid w:val="007A44A6"/>
    <w:rsid w:val="008017CA"/>
    <w:rsid w:val="00825C39"/>
    <w:rsid w:val="00826050"/>
    <w:rsid w:val="00890D50"/>
    <w:rsid w:val="008A5CBA"/>
    <w:rsid w:val="008A6E6E"/>
    <w:rsid w:val="008C6A17"/>
    <w:rsid w:val="008D4456"/>
    <w:rsid w:val="008E4D11"/>
    <w:rsid w:val="0090110C"/>
    <w:rsid w:val="0091459F"/>
    <w:rsid w:val="00915AB3"/>
    <w:rsid w:val="0092591C"/>
    <w:rsid w:val="00953660"/>
    <w:rsid w:val="00967B74"/>
    <w:rsid w:val="009940D5"/>
    <w:rsid w:val="009949D4"/>
    <w:rsid w:val="00996DD9"/>
    <w:rsid w:val="009C53FF"/>
    <w:rsid w:val="009C7E2A"/>
    <w:rsid w:val="009E0C9A"/>
    <w:rsid w:val="00A145B9"/>
    <w:rsid w:val="00A22930"/>
    <w:rsid w:val="00A26616"/>
    <w:rsid w:val="00A37480"/>
    <w:rsid w:val="00A55AE3"/>
    <w:rsid w:val="00A60554"/>
    <w:rsid w:val="00A608F0"/>
    <w:rsid w:val="00A82B77"/>
    <w:rsid w:val="00A8362D"/>
    <w:rsid w:val="00A96D82"/>
    <w:rsid w:val="00AB3BDE"/>
    <w:rsid w:val="00AC2C39"/>
    <w:rsid w:val="00B34B56"/>
    <w:rsid w:val="00B650E6"/>
    <w:rsid w:val="00B73754"/>
    <w:rsid w:val="00B7395E"/>
    <w:rsid w:val="00B73BB7"/>
    <w:rsid w:val="00B80171"/>
    <w:rsid w:val="00B91606"/>
    <w:rsid w:val="00BC16B6"/>
    <w:rsid w:val="00BD62FA"/>
    <w:rsid w:val="00BE0213"/>
    <w:rsid w:val="00BE2CD0"/>
    <w:rsid w:val="00C12484"/>
    <w:rsid w:val="00C46700"/>
    <w:rsid w:val="00C5024D"/>
    <w:rsid w:val="00C669B3"/>
    <w:rsid w:val="00C84956"/>
    <w:rsid w:val="00C87EF0"/>
    <w:rsid w:val="00CA6611"/>
    <w:rsid w:val="00CD42DE"/>
    <w:rsid w:val="00D0171C"/>
    <w:rsid w:val="00D918AB"/>
    <w:rsid w:val="00DA532F"/>
    <w:rsid w:val="00DB666C"/>
    <w:rsid w:val="00DC0371"/>
    <w:rsid w:val="00DF3B7F"/>
    <w:rsid w:val="00E11D5F"/>
    <w:rsid w:val="00E33766"/>
    <w:rsid w:val="00E33EE7"/>
    <w:rsid w:val="00E37F3C"/>
    <w:rsid w:val="00EA5718"/>
    <w:rsid w:val="00EC5671"/>
    <w:rsid w:val="00F10232"/>
    <w:rsid w:val="00F343F4"/>
    <w:rsid w:val="00F34881"/>
    <w:rsid w:val="00F631E1"/>
    <w:rsid w:val="00F71564"/>
    <w:rsid w:val="00F813E8"/>
    <w:rsid w:val="00FB2A0A"/>
    <w:rsid w:val="00FE18A5"/>
    <w:rsid w:val="00FE4F37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171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semiHidden/>
    <w:locked/>
    <w:rsid w:val="00D0171C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semiHidden/>
    <w:rsid w:val="00D017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rsid w:val="00D0171C"/>
    <w:pPr>
      <w:ind w:left="720"/>
    </w:pPr>
  </w:style>
  <w:style w:type="table" w:styleId="Tabela-Siatka">
    <w:name w:val="Table Grid"/>
    <w:basedOn w:val="Standardowy"/>
    <w:rsid w:val="00D01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2E54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Odwoanieprzypisudolnego">
    <w:name w:val="footnote reference"/>
    <w:semiHidden/>
    <w:rsid w:val="002E549B"/>
    <w:rPr>
      <w:vertAlign w:val="superscript"/>
    </w:rPr>
  </w:style>
  <w:style w:type="character" w:styleId="Numerstrony">
    <w:name w:val="page number"/>
    <w:basedOn w:val="Domylnaczcionkaakapitu"/>
    <w:rsid w:val="00E33EE7"/>
  </w:style>
  <w:style w:type="paragraph" w:styleId="Tekstdymka">
    <w:name w:val="Balloon Text"/>
    <w:basedOn w:val="Normalny"/>
    <w:link w:val="TekstdymkaZnak"/>
    <w:rsid w:val="0092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59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890D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0D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0D5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890D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D50"/>
    <w:rPr>
      <w:rFonts w:ascii="Calibri" w:hAnsi="Calibri"/>
      <w:b/>
      <w:bCs/>
    </w:rPr>
  </w:style>
  <w:style w:type="paragraph" w:styleId="Tekstpodstawowywcity">
    <w:name w:val="Body Text Indent"/>
    <w:basedOn w:val="Normalny"/>
    <w:link w:val="TekstpodstawowywcityZnak"/>
    <w:rsid w:val="00890D50"/>
    <w:pPr>
      <w:spacing w:after="120" w:line="240" w:lineRule="auto"/>
      <w:ind w:left="283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0D50"/>
    <w:rPr>
      <w:rFonts w:eastAsia="MS Mincho"/>
      <w:sz w:val="24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A14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171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semiHidden/>
    <w:locked/>
    <w:rsid w:val="00D0171C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semiHidden/>
    <w:rsid w:val="00D017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rsid w:val="00D0171C"/>
    <w:pPr>
      <w:ind w:left="720"/>
    </w:pPr>
  </w:style>
  <w:style w:type="table" w:styleId="Tabela-Siatka">
    <w:name w:val="Table Grid"/>
    <w:basedOn w:val="Standardowy"/>
    <w:rsid w:val="00D01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2E54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Odwoanieprzypisudolnego">
    <w:name w:val="footnote reference"/>
    <w:semiHidden/>
    <w:rsid w:val="002E549B"/>
    <w:rPr>
      <w:vertAlign w:val="superscript"/>
    </w:rPr>
  </w:style>
  <w:style w:type="character" w:styleId="Numerstrony">
    <w:name w:val="page number"/>
    <w:basedOn w:val="Domylnaczcionkaakapitu"/>
    <w:rsid w:val="00E33EE7"/>
  </w:style>
  <w:style w:type="paragraph" w:styleId="Tekstdymka">
    <w:name w:val="Balloon Text"/>
    <w:basedOn w:val="Normalny"/>
    <w:link w:val="TekstdymkaZnak"/>
    <w:rsid w:val="0092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59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890D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0D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0D5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890D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D50"/>
    <w:rPr>
      <w:rFonts w:ascii="Calibri" w:hAnsi="Calibri"/>
      <w:b/>
      <w:bCs/>
    </w:rPr>
  </w:style>
  <w:style w:type="paragraph" w:styleId="Tekstpodstawowywcity">
    <w:name w:val="Body Text Indent"/>
    <w:basedOn w:val="Normalny"/>
    <w:link w:val="TekstpodstawowywcityZnak"/>
    <w:rsid w:val="00890D50"/>
    <w:pPr>
      <w:spacing w:after="120" w:line="240" w:lineRule="auto"/>
      <w:ind w:left="283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0D50"/>
    <w:rPr>
      <w:rFonts w:eastAsia="MS Mincho"/>
      <w:sz w:val="24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A1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E8D3-D8B2-463C-A9E9-2BEE33BE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3346</Words>
  <Characters>20078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Państwowej Komisji Akredytacyjnej</Company>
  <LinksUpToDate>false</LinksUpToDate>
  <CharactersWithSpaces>23378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Bryzek</dc:creator>
  <cp:lastModifiedBy>admin</cp:lastModifiedBy>
  <cp:revision>4</cp:revision>
  <cp:lastPrinted>2012-10-22T10:42:00Z</cp:lastPrinted>
  <dcterms:created xsi:type="dcterms:W3CDTF">2013-04-11T11:56:00Z</dcterms:created>
  <dcterms:modified xsi:type="dcterms:W3CDTF">2013-04-11T12:23:00Z</dcterms:modified>
</cp:coreProperties>
</file>