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DC" w:rsidRDefault="004C223F" w:rsidP="00D37BDC">
      <w:pPr>
        <w:spacing w:after="0"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D37BDC">
        <w:rPr>
          <w:b/>
          <w:sz w:val="28"/>
          <w:szCs w:val="24"/>
        </w:rPr>
        <w:t xml:space="preserve">                        </w:t>
      </w:r>
      <w:r w:rsidR="00D37BDC">
        <w:rPr>
          <w:b/>
          <w:sz w:val="20"/>
          <w:szCs w:val="20"/>
        </w:rPr>
        <w:t>Załącznik nr 3</w:t>
      </w:r>
    </w:p>
    <w:p w:rsidR="00D37BDC" w:rsidRDefault="00D37BDC" w:rsidP="00D37BDC">
      <w:pPr>
        <w:spacing w:after="0" w:line="240" w:lineRule="auto"/>
        <w:ind w:left="4608" w:firstLine="3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do statutu Polskiej Komisji Akredytacyjnej</w:t>
      </w:r>
    </w:p>
    <w:p w:rsidR="00D37BDC" w:rsidRDefault="00D37BDC" w:rsidP="00D37BDC">
      <w:pPr>
        <w:spacing w:after="0" w:line="240" w:lineRule="auto"/>
        <w:ind w:left="56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uchwalonego w dniu …………………</w:t>
      </w:r>
    </w:p>
    <w:p w:rsidR="004C223F" w:rsidRDefault="004C223F" w:rsidP="009C679B">
      <w:pPr>
        <w:jc w:val="center"/>
        <w:rPr>
          <w:b/>
          <w:sz w:val="28"/>
          <w:szCs w:val="24"/>
        </w:rPr>
      </w:pPr>
    </w:p>
    <w:p w:rsidR="009C679B" w:rsidRPr="00F568BB" w:rsidRDefault="002E37F4" w:rsidP="009C679B">
      <w:pPr>
        <w:jc w:val="center"/>
        <w:rPr>
          <w:b/>
          <w:sz w:val="28"/>
          <w:szCs w:val="24"/>
        </w:rPr>
      </w:pPr>
      <w:r w:rsidRPr="00F568BB">
        <w:rPr>
          <w:b/>
          <w:sz w:val="28"/>
          <w:szCs w:val="24"/>
        </w:rPr>
        <w:t>Szczegółowe k</w:t>
      </w:r>
      <w:r w:rsidR="009C679B" w:rsidRPr="00F568BB">
        <w:rPr>
          <w:b/>
          <w:sz w:val="28"/>
          <w:szCs w:val="24"/>
        </w:rPr>
        <w:t>ryteria oceny instytucjonalnej</w:t>
      </w:r>
    </w:p>
    <w:p w:rsidR="009C679B" w:rsidRPr="00F568BB" w:rsidRDefault="009C679B" w:rsidP="009C679B">
      <w:pPr>
        <w:jc w:val="center"/>
        <w:rPr>
          <w:b/>
          <w:sz w:val="24"/>
          <w:szCs w:val="24"/>
        </w:rPr>
      </w:pPr>
    </w:p>
    <w:p w:rsidR="009C679B" w:rsidRPr="00AB28D8" w:rsidRDefault="00094713" w:rsidP="009C679B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>1. Zgodność działania jednostki z misją i strategią rozwoju uczelni.</w:t>
      </w:r>
    </w:p>
    <w:p w:rsidR="00286C9D" w:rsidRPr="00014542" w:rsidRDefault="009C679B" w:rsidP="00A553D0">
      <w:pPr>
        <w:pStyle w:val="Akapitzlist"/>
        <w:numPr>
          <w:ilvl w:val="1"/>
          <w:numId w:val="19"/>
        </w:numPr>
        <w:jc w:val="both"/>
        <w:rPr>
          <w:b/>
          <w:i/>
        </w:rPr>
      </w:pPr>
      <w:r w:rsidRPr="00014542">
        <w:rPr>
          <w:b/>
        </w:rPr>
        <w:t>Jednostka rozpoznaje swoją rolę i pozycję na rynku edukacyjnym oraz w otoczeniu społeczno-gospodarczym i wykorzystuje tę wiedzę do określenia celów strategicznych i wyznaczenia priorytetów</w:t>
      </w:r>
      <w:r w:rsidR="00950CE5" w:rsidRPr="00014542">
        <w:rPr>
          <w:b/>
        </w:rPr>
        <w:t>.</w:t>
      </w:r>
    </w:p>
    <w:p w:rsidR="00286C9D" w:rsidRPr="00014542" w:rsidRDefault="00094713" w:rsidP="00286C9D">
      <w:pPr>
        <w:pStyle w:val="Akapitzlist"/>
        <w:numPr>
          <w:ilvl w:val="1"/>
          <w:numId w:val="19"/>
        </w:numPr>
        <w:jc w:val="both"/>
        <w:rPr>
          <w:b/>
          <w:i/>
        </w:rPr>
      </w:pPr>
      <w:r w:rsidRPr="00014542">
        <w:rPr>
          <w:b/>
        </w:rPr>
        <w:t>Jednostka określiła i realizuje politykę jakości kształcenia</w:t>
      </w:r>
      <w:r w:rsidR="00B5225A" w:rsidRPr="00014542">
        <w:rPr>
          <w:b/>
        </w:rPr>
        <w:t>, zgodną z misją i strategią rozwoju uczelni,</w:t>
      </w:r>
      <w:r w:rsidRPr="00014542">
        <w:rPr>
          <w:b/>
        </w:rPr>
        <w:t xml:space="preserve"> sprzyjającą dos</w:t>
      </w:r>
      <w:r w:rsidR="00981AD6" w:rsidRPr="00014542">
        <w:rPr>
          <w:b/>
        </w:rPr>
        <w:t>konaleniu procesu</w:t>
      </w:r>
      <w:r w:rsidRPr="00014542">
        <w:rPr>
          <w:b/>
        </w:rPr>
        <w:t xml:space="preserve"> kształcenia na wszystkich poziomach i formach realizowanego kształcenia.</w:t>
      </w:r>
    </w:p>
    <w:p w:rsidR="009C679B" w:rsidRPr="00F568BB" w:rsidRDefault="009C679B" w:rsidP="00286C9D">
      <w:pPr>
        <w:pStyle w:val="Akapitzlist"/>
        <w:numPr>
          <w:ilvl w:val="1"/>
          <w:numId w:val="19"/>
        </w:numPr>
        <w:jc w:val="both"/>
        <w:rPr>
          <w:i/>
        </w:rPr>
      </w:pPr>
      <w:r w:rsidRPr="00F568BB">
        <w:t>Jednostka</w:t>
      </w:r>
      <w:r w:rsidR="00E12EE5" w:rsidRPr="00F568BB">
        <w:t xml:space="preserve"> monitoruje realizację </w:t>
      </w:r>
      <w:r w:rsidRPr="00F568BB">
        <w:t>strat</w:t>
      </w:r>
      <w:r w:rsidR="00E12EE5" w:rsidRPr="00F568BB">
        <w:t>egii</w:t>
      </w:r>
      <w:r w:rsidR="00094713" w:rsidRPr="00F568BB">
        <w:t>, mając na względzie efektywne wykorzystanie potencjału naukoweg</w:t>
      </w:r>
      <w:r w:rsidR="00004DDA" w:rsidRPr="00F568BB">
        <w:t xml:space="preserve">o, dydaktycznego i materialnego w celu pomnażania osiągnięć </w:t>
      </w:r>
      <w:r w:rsidR="00E12EE5" w:rsidRPr="00F568BB">
        <w:t>w zakresie</w:t>
      </w:r>
      <w:r w:rsidR="00004DDA" w:rsidRPr="00F568BB">
        <w:t xml:space="preserve"> określonych celów strategicznych.</w:t>
      </w:r>
    </w:p>
    <w:p w:rsidR="00004DDA" w:rsidRPr="00014542" w:rsidRDefault="00004DDA" w:rsidP="00286C9D">
      <w:pPr>
        <w:pStyle w:val="Akapitzlist"/>
        <w:numPr>
          <w:ilvl w:val="1"/>
          <w:numId w:val="19"/>
        </w:numPr>
        <w:jc w:val="both"/>
        <w:rPr>
          <w:b/>
          <w:i/>
        </w:rPr>
      </w:pPr>
      <w:r w:rsidRPr="00014542">
        <w:rPr>
          <w:b/>
        </w:rPr>
        <w:t>Jednostka prowadzi bada</w:t>
      </w:r>
      <w:r w:rsidR="00CB0A78" w:rsidRPr="00014542">
        <w:rPr>
          <w:b/>
        </w:rPr>
        <w:t xml:space="preserve">nia naukowe w dziedzinach nauki/sztuki </w:t>
      </w:r>
      <w:r w:rsidRPr="00014542">
        <w:rPr>
          <w:b/>
        </w:rPr>
        <w:t xml:space="preserve">związanych z kierunkiem studiów o profilu </w:t>
      </w:r>
      <w:proofErr w:type="spellStart"/>
      <w:r w:rsidR="00616411" w:rsidRPr="00014542">
        <w:rPr>
          <w:b/>
        </w:rPr>
        <w:t>ogólnoakademickim</w:t>
      </w:r>
      <w:proofErr w:type="spellEnd"/>
      <w:r w:rsidRPr="00014542">
        <w:rPr>
          <w:b/>
        </w:rPr>
        <w:t xml:space="preserve"> oraz</w:t>
      </w:r>
      <w:r w:rsidR="00E12EE5" w:rsidRPr="00014542">
        <w:rPr>
          <w:b/>
        </w:rPr>
        <w:t>/lub</w:t>
      </w:r>
      <w:r w:rsidRPr="00014542">
        <w:rPr>
          <w:b/>
        </w:rPr>
        <w:t xml:space="preserve"> w dziedzinach nauki</w:t>
      </w:r>
      <w:r w:rsidR="00CB0A78" w:rsidRPr="00014542">
        <w:rPr>
          <w:b/>
        </w:rPr>
        <w:t xml:space="preserve">/sztuki i dyscyplinach </w:t>
      </w:r>
      <w:r w:rsidRPr="00014542">
        <w:rPr>
          <w:b/>
        </w:rPr>
        <w:t>naukowych</w:t>
      </w:r>
      <w:r w:rsidR="00CB0A78" w:rsidRPr="00014542">
        <w:rPr>
          <w:b/>
        </w:rPr>
        <w:t>/artystycznych</w:t>
      </w:r>
      <w:r w:rsidRPr="00014542">
        <w:rPr>
          <w:b/>
        </w:rPr>
        <w:t>, w których prowadzone są studia doktoranckie, a także uwzględnia wyniki tych badań w procesie kształcenia na wszystkich realizowanych poziomach studiów.</w:t>
      </w:r>
    </w:p>
    <w:p w:rsidR="009C679B" w:rsidRPr="00AB28D8" w:rsidRDefault="00094713" w:rsidP="009C679B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>2. Funkcjonowanie i doskonalenie wewnętrznego systemu zapewnienia jakości kształcenia.</w:t>
      </w:r>
    </w:p>
    <w:p w:rsidR="009C679B" w:rsidRPr="00014542" w:rsidRDefault="009C679B" w:rsidP="00C928EA">
      <w:pPr>
        <w:pStyle w:val="Akapitzlist"/>
        <w:numPr>
          <w:ilvl w:val="1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>Jednostka posiada spójny system wewnętrznych regulacji, normujących funkcjonowanie wewnętrznego systemu zapewnienia jakości kształcenia oraz jego do</w:t>
      </w:r>
      <w:r w:rsidR="00E12EE5" w:rsidRPr="00014542">
        <w:rPr>
          <w:b/>
        </w:rPr>
        <w:t>skonalenia, zgodny ze strategią jednostki, polityką jakości oraz powszechnie obowiązującymi przepisami prawa, określających:</w:t>
      </w:r>
    </w:p>
    <w:p w:rsidR="00714CF5" w:rsidRPr="00F568BB" w:rsidRDefault="005F7BCA" w:rsidP="005F7BCA">
      <w:pPr>
        <w:pStyle w:val="Akapitzlist"/>
        <w:numPr>
          <w:ilvl w:val="2"/>
          <w:numId w:val="20"/>
        </w:numPr>
        <w:spacing w:after="0" w:line="240" w:lineRule="auto"/>
        <w:jc w:val="both"/>
      </w:pPr>
      <w:r w:rsidRPr="00F568BB">
        <w:t>zakres działania oraz cele wewnętrznego systemu zapewniania jakości,</w:t>
      </w:r>
    </w:p>
    <w:p w:rsidR="005F7BCA" w:rsidRPr="00014542" w:rsidRDefault="005F7BCA" w:rsidP="005F7BCA">
      <w:pPr>
        <w:pStyle w:val="Akapitzlist"/>
        <w:numPr>
          <w:ilvl w:val="2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>przejrzystą strukturę organizacyjną oraz przydział odpowiedzialności i uprawnień</w:t>
      </w:r>
      <w:r w:rsidR="0090025A" w:rsidRPr="00014542">
        <w:rPr>
          <w:b/>
        </w:rPr>
        <w:t>,</w:t>
      </w:r>
    </w:p>
    <w:p w:rsidR="005F7BCA" w:rsidRPr="00F568BB" w:rsidRDefault="005F7BCA" w:rsidP="005F7BCA">
      <w:pPr>
        <w:pStyle w:val="Akapitzlist"/>
        <w:numPr>
          <w:ilvl w:val="2"/>
          <w:numId w:val="20"/>
        </w:numPr>
        <w:spacing w:after="0" w:line="240" w:lineRule="auto"/>
        <w:jc w:val="both"/>
      </w:pPr>
      <w:r w:rsidRPr="00F568BB">
        <w:t>udział interesariuszy wewnętr</w:t>
      </w:r>
      <w:r w:rsidR="00012C51" w:rsidRPr="00F568BB">
        <w:t>znych i zewnętrznych w zapewnianiu</w:t>
      </w:r>
      <w:r w:rsidRPr="00F568BB">
        <w:t xml:space="preserve"> jakości kształcenia,</w:t>
      </w:r>
    </w:p>
    <w:p w:rsidR="000A6F21" w:rsidRPr="00014542" w:rsidRDefault="005F7BCA" w:rsidP="003C145B">
      <w:pPr>
        <w:pStyle w:val="Akapitzlist"/>
        <w:numPr>
          <w:ilvl w:val="2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>kluczowe procesy w obszarze kształcenia</w:t>
      </w:r>
      <w:r w:rsidR="003C145B" w:rsidRPr="00014542">
        <w:rPr>
          <w:b/>
        </w:rPr>
        <w:t xml:space="preserve"> oraz </w:t>
      </w:r>
      <w:r w:rsidRPr="00014542">
        <w:rPr>
          <w:b/>
        </w:rPr>
        <w:t>procedury i narzędzia odnoszące się do monitorowania, oceny i doskonalenia jakości kształcenia</w:t>
      </w:r>
      <w:r w:rsidR="003C145B" w:rsidRPr="00014542">
        <w:rPr>
          <w:b/>
        </w:rPr>
        <w:t xml:space="preserve">, jak również </w:t>
      </w:r>
      <w:r w:rsidR="00004DDA" w:rsidRPr="00014542">
        <w:rPr>
          <w:b/>
        </w:rPr>
        <w:t>s</w:t>
      </w:r>
      <w:r w:rsidRPr="00014542">
        <w:rPr>
          <w:b/>
        </w:rPr>
        <w:t>ystemu</w:t>
      </w:r>
      <w:r w:rsidR="00F568BB" w:rsidRPr="00014542">
        <w:rPr>
          <w:b/>
        </w:rPr>
        <w:t>.</w:t>
      </w:r>
    </w:p>
    <w:p w:rsidR="00286C9D" w:rsidRPr="00014542" w:rsidRDefault="00E9618E" w:rsidP="00C928EA">
      <w:pPr>
        <w:pStyle w:val="Akapitzlist"/>
        <w:numPr>
          <w:ilvl w:val="1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 xml:space="preserve">Wewnętrzne procedury zapewniania jakości kształcenia mają charakter kompleksowy, przeciwdziałają powstawaniu zjawisk patologicznych i umożliwiają monitorowanie, ocenę </w:t>
      </w:r>
      <w:r w:rsidR="00E70576" w:rsidRPr="00014542">
        <w:rPr>
          <w:b/>
        </w:rPr>
        <w:br/>
      </w:r>
      <w:r w:rsidRPr="00014542">
        <w:rPr>
          <w:b/>
        </w:rPr>
        <w:t>i doskonalenie jakości zidentyfikowanych procesów, w szczególności w zakresie:</w:t>
      </w:r>
    </w:p>
    <w:p w:rsidR="000A6F21" w:rsidRPr="00014542" w:rsidRDefault="00094713" w:rsidP="000A6F21">
      <w:pPr>
        <w:pStyle w:val="Akapitzlist"/>
        <w:numPr>
          <w:ilvl w:val="2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>p</w:t>
      </w:r>
      <w:r w:rsidR="009C679B" w:rsidRPr="00014542">
        <w:rPr>
          <w:b/>
        </w:rPr>
        <w:t>rojektowania</w:t>
      </w:r>
      <w:r w:rsidRPr="00014542">
        <w:rPr>
          <w:b/>
        </w:rPr>
        <w:t xml:space="preserve">, </w:t>
      </w:r>
      <w:r w:rsidR="00004DDA" w:rsidRPr="00014542">
        <w:rPr>
          <w:b/>
        </w:rPr>
        <w:t xml:space="preserve">zatwierdzania, </w:t>
      </w:r>
      <w:r w:rsidRPr="00014542">
        <w:rPr>
          <w:b/>
        </w:rPr>
        <w:t xml:space="preserve">okresowego </w:t>
      </w:r>
      <w:r w:rsidR="00E9618E" w:rsidRPr="00014542">
        <w:rPr>
          <w:b/>
        </w:rPr>
        <w:t xml:space="preserve">przeglądu programów </w:t>
      </w:r>
      <w:r w:rsidRPr="00014542">
        <w:rPr>
          <w:b/>
        </w:rPr>
        <w:t xml:space="preserve">oraz monitorowania </w:t>
      </w:r>
      <w:r w:rsidR="00E9618E" w:rsidRPr="00014542">
        <w:rPr>
          <w:b/>
        </w:rPr>
        <w:t xml:space="preserve">realizacji </w:t>
      </w:r>
      <w:r w:rsidR="003F4AC5" w:rsidRPr="00014542">
        <w:rPr>
          <w:b/>
        </w:rPr>
        <w:t xml:space="preserve">zakładanych </w:t>
      </w:r>
      <w:r w:rsidR="00012C51" w:rsidRPr="00014542">
        <w:rPr>
          <w:b/>
        </w:rPr>
        <w:t xml:space="preserve">efektów </w:t>
      </w:r>
      <w:r w:rsidRPr="00014542">
        <w:rPr>
          <w:b/>
        </w:rPr>
        <w:t>kształcenia</w:t>
      </w:r>
      <w:r w:rsidR="0090025A" w:rsidRPr="00014542">
        <w:rPr>
          <w:b/>
        </w:rPr>
        <w:t xml:space="preserve"> na studiach pierwszego</w:t>
      </w:r>
      <w:r w:rsidR="00012C51" w:rsidRPr="00014542">
        <w:rPr>
          <w:b/>
        </w:rPr>
        <w:t xml:space="preserve"> stopnia</w:t>
      </w:r>
      <w:r w:rsidR="0090025A" w:rsidRPr="00014542">
        <w:rPr>
          <w:b/>
        </w:rPr>
        <w:t xml:space="preserve">, </w:t>
      </w:r>
      <w:r w:rsidR="00012C51" w:rsidRPr="00014542">
        <w:rPr>
          <w:b/>
        </w:rPr>
        <w:t xml:space="preserve">studiach </w:t>
      </w:r>
      <w:r w:rsidR="0090025A" w:rsidRPr="00014542">
        <w:rPr>
          <w:b/>
        </w:rPr>
        <w:t>drugiego</w:t>
      </w:r>
      <w:r w:rsidR="00012C51" w:rsidRPr="00014542">
        <w:rPr>
          <w:b/>
        </w:rPr>
        <w:t xml:space="preserve"> stopnia</w:t>
      </w:r>
      <w:r w:rsidR="0090025A" w:rsidRPr="00014542">
        <w:rPr>
          <w:b/>
        </w:rPr>
        <w:t xml:space="preserve">, </w:t>
      </w:r>
      <w:r w:rsidR="00012C51" w:rsidRPr="00014542">
        <w:rPr>
          <w:b/>
        </w:rPr>
        <w:t xml:space="preserve">studiach </w:t>
      </w:r>
      <w:r w:rsidR="0090025A" w:rsidRPr="00014542">
        <w:rPr>
          <w:b/>
        </w:rPr>
        <w:t>trzeciego stopnia i studiach podyplomowych,</w:t>
      </w:r>
    </w:p>
    <w:p w:rsidR="00E9618E" w:rsidRPr="00014542" w:rsidRDefault="00E9618E" w:rsidP="000A6F21">
      <w:pPr>
        <w:pStyle w:val="Akapitzlist"/>
        <w:numPr>
          <w:ilvl w:val="2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>udziału pracodawców i przedstawicieli rynku pracy w określaniu i ocenie efektów kształcenia</w:t>
      </w:r>
      <w:r w:rsidR="0090025A" w:rsidRPr="00014542">
        <w:rPr>
          <w:b/>
        </w:rPr>
        <w:t>,</w:t>
      </w:r>
    </w:p>
    <w:p w:rsidR="00E9618E" w:rsidRPr="00F568BB" w:rsidRDefault="00E9618E" w:rsidP="000A6F21">
      <w:pPr>
        <w:pStyle w:val="Akapitzlist"/>
        <w:numPr>
          <w:ilvl w:val="2"/>
          <w:numId w:val="20"/>
        </w:numPr>
        <w:spacing w:after="0" w:line="240" w:lineRule="auto"/>
        <w:jc w:val="both"/>
      </w:pPr>
      <w:r w:rsidRPr="00F568BB">
        <w:t>rekrutacji kandyda</w:t>
      </w:r>
      <w:r w:rsidR="00B0412A" w:rsidRPr="00F568BB">
        <w:t xml:space="preserve">tów, oceny postępów studentów, </w:t>
      </w:r>
      <w:r w:rsidRPr="00F568BB">
        <w:t>doktorantów</w:t>
      </w:r>
      <w:r w:rsidR="00B0412A" w:rsidRPr="00F568BB">
        <w:t xml:space="preserve"> i</w:t>
      </w:r>
      <w:r w:rsidR="00012B71" w:rsidRPr="00F568BB">
        <w:t xml:space="preserve"> słuchaczy studiów podyplomowych</w:t>
      </w:r>
      <w:r w:rsidR="00B0412A" w:rsidRPr="00F568BB">
        <w:t xml:space="preserve"> oraz wykorzystania wyników monitorowania losów absolwentów w celu oceny efektów kształcenia na rynku pracy, a także zasad, warunków i tryb</w:t>
      </w:r>
      <w:r w:rsidR="00F01517" w:rsidRPr="00F568BB">
        <w:t>u potwierdzania efektów uczenia</w:t>
      </w:r>
      <w:r w:rsidR="00B0412A" w:rsidRPr="00F568BB">
        <w:t xml:space="preserve"> się</w:t>
      </w:r>
      <w:r w:rsidR="000B2D9B" w:rsidRPr="00F568BB">
        <w:t xml:space="preserve"> uzyskanych poza systemem studiów,</w:t>
      </w:r>
    </w:p>
    <w:p w:rsidR="000A6F21" w:rsidRPr="00014542" w:rsidRDefault="00E9618E" w:rsidP="00E9618E">
      <w:pPr>
        <w:pStyle w:val="Akapitzlist"/>
        <w:numPr>
          <w:ilvl w:val="2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t>kadry prowadzącej i wspierającej proces kształcenia oraz realizowanej polityki kadrowej</w:t>
      </w:r>
      <w:r w:rsidR="0090025A" w:rsidRPr="00014542">
        <w:rPr>
          <w:b/>
        </w:rPr>
        <w:t>,</w:t>
      </w:r>
    </w:p>
    <w:p w:rsidR="000A6F21" w:rsidRPr="00F568BB" w:rsidRDefault="009C679B" w:rsidP="00E9618E">
      <w:pPr>
        <w:pStyle w:val="Akapitzlist"/>
        <w:numPr>
          <w:ilvl w:val="2"/>
          <w:numId w:val="20"/>
        </w:numPr>
        <w:spacing w:after="0" w:line="240" w:lineRule="auto"/>
        <w:jc w:val="both"/>
      </w:pPr>
      <w:r w:rsidRPr="00F568BB">
        <w:t>zasobów materialnych, w tym infrastruktu</w:t>
      </w:r>
      <w:r w:rsidR="00E9618E" w:rsidRPr="00F568BB">
        <w:t xml:space="preserve">ry dydaktycznej i naukowej, a także środków </w:t>
      </w:r>
      <w:r w:rsidR="00714CF5" w:rsidRPr="00F568BB">
        <w:t>wsparcia dla studentów i doktorantów</w:t>
      </w:r>
      <w:r w:rsidR="0090025A" w:rsidRPr="00F568BB">
        <w:t>,</w:t>
      </w:r>
    </w:p>
    <w:p w:rsidR="000A6F21" w:rsidRPr="00014542" w:rsidRDefault="000A6F21" w:rsidP="000A6F21">
      <w:pPr>
        <w:pStyle w:val="Akapitzlist"/>
        <w:numPr>
          <w:ilvl w:val="2"/>
          <w:numId w:val="20"/>
        </w:numPr>
        <w:spacing w:after="0" w:line="240" w:lineRule="auto"/>
        <w:jc w:val="both"/>
        <w:rPr>
          <w:b/>
        </w:rPr>
      </w:pPr>
      <w:r w:rsidRPr="00014542">
        <w:rPr>
          <w:b/>
        </w:rPr>
        <w:lastRenderedPageBreak/>
        <w:t>z</w:t>
      </w:r>
      <w:r w:rsidR="009C679B" w:rsidRPr="00014542">
        <w:rPr>
          <w:b/>
        </w:rPr>
        <w:t>arządz</w:t>
      </w:r>
      <w:r w:rsidR="00714CF5" w:rsidRPr="00014542">
        <w:rPr>
          <w:b/>
        </w:rPr>
        <w:t>ania informacją dotyczącą procesu kształcenia</w:t>
      </w:r>
      <w:r w:rsidR="00E9618E" w:rsidRPr="00014542">
        <w:rPr>
          <w:b/>
        </w:rPr>
        <w:t>, tj. spo</w:t>
      </w:r>
      <w:r w:rsidR="00014542">
        <w:rPr>
          <w:b/>
        </w:rPr>
        <w:t xml:space="preserve">sobu gromadzenia, analizowania </w:t>
      </w:r>
      <w:r w:rsidR="00E9618E" w:rsidRPr="00014542">
        <w:rPr>
          <w:b/>
        </w:rPr>
        <w:t>i wykorzystywania stosownych informacji w zapewnianiu jakości kształcenia,</w:t>
      </w:r>
    </w:p>
    <w:p w:rsidR="00714CF5" w:rsidRPr="00F568BB" w:rsidRDefault="00714CF5" w:rsidP="000A6F21">
      <w:pPr>
        <w:pStyle w:val="Akapitzlist"/>
        <w:numPr>
          <w:ilvl w:val="2"/>
          <w:numId w:val="20"/>
        </w:numPr>
        <w:spacing w:after="0" w:line="240" w:lineRule="auto"/>
        <w:jc w:val="both"/>
      </w:pPr>
      <w:r w:rsidRPr="00F568BB">
        <w:t>publicznego dostępu do aktualnyc</w:t>
      </w:r>
      <w:r w:rsidR="00F568BB">
        <w:t>h i obiektywnie przedstawionych informacji</w:t>
      </w:r>
      <w:r w:rsidRPr="00F568BB">
        <w:t xml:space="preserve"> o programach studiów, zakładanych efektach kształcenia, organizacji i procedurach toku studiów</w:t>
      </w:r>
      <w:r w:rsidR="0090025A" w:rsidRPr="00F568BB">
        <w:t>.</w:t>
      </w:r>
    </w:p>
    <w:p w:rsidR="009C679B" w:rsidRDefault="009C679B" w:rsidP="000A6F21">
      <w:pPr>
        <w:pStyle w:val="Akapitzlist"/>
        <w:numPr>
          <w:ilvl w:val="1"/>
          <w:numId w:val="20"/>
        </w:numPr>
        <w:spacing w:after="120"/>
        <w:jc w:val="both"/>
      </w:pPr>
      <w:r w:rsidRPr="00F568BB">
        <w:t xml:space="preserve">Jednostka </w:t>
      </w:r>
      <w:r w:rsidR="00714CF5" w:rsidRPr="00F568BB">
        <w:t>dokonuje sy</w:t>
      </w:r>
      <w:r w:rsidR="00E9618E" w:rsidRPr="00F568BB">
        <w:t xml:space="preserve">stematycznej oceny skuteczności </w:t>
      </w:r>
      <w:r w:rsidR="00714CF5" w:rsidRPr="00F568BB">
        <w:t>wewnętrznego systemu zapewniania jakości, a jej wyniki wykorzystuje do d</w:t>
      </w:r>
      <w:r w:rsidR="00E9618E" w:rsidRPr="00F568BB">
        <w:t>oskonalenia polityki</w:t>
      </w:r>
      <w:r w:rsidR="00714CF5" w:rsidRPr="00F568BB">
        <w:t xml:space="preserve"> jakości i budowy kultury jakości kształcenia.</w:t>
      </w:r>
    </w:p>
    <w:p w:rsidR="00714CF5" w:rsidRPr="00AB28D8" w:rsidRDefault="009C679B" w:rsidP="00714CF5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 xml:space="preserve">3. </w:t>
      </w:r>
      <w:r w:rsidR="00714CF5" w:rsidRPr="00AB28D8">
        <w:rPr>
          <w:b/>
          <w:sz w:val="26"/>
          <w:szCs w:val="26"/>
        </w:rPr>
        <w:t>Efektywność polityki ka</w:t>
      </w:r>
      <w:r w:rsidR="00004DDA" w:rsidRPr="00AB28D8">
        <w:rPr>
          <w:b/>
          <w:sz w:val="26"/>
          <w:szCs w:val="26"/>
        </w:rPr>
        <w:t>d</w:t>
      </w:r>
      <w:r w:rsidR="00714CF5" w:rsidRPr="00AB28D8">
        <w:rPr>
          <w:b/>
          <w:sz w:val="26"/>
          <w:szCs w:val="26"/>
        </w:rPr>
        <w:t xml:space="preserve">rowej </w:t>
      </w:r>
      <w:r w:rsidR="003F4AC5" w:rsidRPr="00AB28D8">
        <w:rPr>
          <w:b/>
          <w:sz w:val="26"/>
          <w:szCs w:val="26"/>
        </w:rPr>
        <w:t>realizowanej w j</w:t>
      </w:r>
      <w:r w:rsidR="000A1092" w:rsidRPr="00AB28D8">
        <w:rPr>
          <w:b/>
          <w:sz w:val="26"/>
          <w:szCs w:val="26"/>
        </w:rPr>
        <w:t>ednostce.</w:t>
      </w:r>
    </w:p>
    <w:p w:rsidR="00E12EE5" w:rsidRPr="00014542" w:rsidRDefault="00A45ACE" w:rsidP="00F568BB">
      <w:pPr>
        <w:ind w:left="426" w:hanging="426"/>
        <w:jc w:val="both"/>
        <w:rPr>
          <w:rFonts w:eastAsia="Times New Roman"/>
          <w:b/>
          <w:lang w:eastAsia="pl-PL"/>
        </w:rPr>
      </w:pPr>
      <w:r w:rsidRPr="00F568BB">
        <w:rPr>
          <w:rFonts w:eastAsia="Times New Roman"/>
          <w:lang w:eastAsia="pl-PL"/>
        </w:rPr>
        <w:t xml:space="preserve">3.1 </w:t>
      </w:r>
      <w:r w:rsidR="00F568BB" w:rsidRPr="00014542">
        <w:rPr>
          <w:rFonts w:eastAsia="Times New Roman"/>
          <w:b/>
          <w:lang w:eastAsia="pl-PL"/>
        </w:rPr>
        <w:t xml:space="preserve">Jednostka </w:t>
      </w:r>
      <w:r w:rsidR="00714CF5" w:rsidRPr="00014542">
        <w:rPr>
          <w:rFonts w:eastAsia="Times New Roman"/>
          <w:b/>
          <w:lang w:eastAsia="pl-PL"/>
        </w:rPr>
        <w:t xml:space="preserve">dysponuje zasobami kadrowymi dostosowanymi do potrzeb wynikających </w:t>
      </w:r>
      <w:r w:rsidR="00F568BB" w:rsidRPr="00014542">
        <w:rPr>
          <w:rFonts w:eastAsia="Times New Roman"/>
          <w:b/>
          <w:lang w:eastAsia="pl-PL"/>
        </w:rPr>
        <w:br/>
      </w:r>
      <w:r w:rsidR="00714CF5" w:rsidRPr="00014542">
        <w:rPr>
          <w:rFonts w:eastAsia="Times New Roman"/>
          <w:b/>
          <w:lang w:eastAsia="pl-PL"/>
        </w:rPr>
        <w:t>z prowadzonej działalności naukowej, dyda</w:t>
      </w:r>
      <w:r w:rsidR="00F568BB" w:rsidRPr="00014542">
        <w:rPr>
          <w:rFonts w:eastAsia="Times New Roman"/>
          <w:b/>
          <w:lang w:eastAsia="pl-PL"/>
        </w:rPr>
        <w:t xml:space="preserve">ktycznej i organizacyjnej oraz </w:t>
      </w:r>
      <w:r w:rsidR="00714CF5" w:rsidRPr="00014542">
        <w:rPr>
          <w:rFonts w:eastAsia="Times New Roman"/>
          <w:b/>
          <w:lang w:eastAsia="pl-PL"/>
        </w:rPr>
        <w:t>prowadzi</w:t>
      </w:r>
      <w:r w:rsidR="00F568BB" w:rsidRPr="00014542">
        <w:rPr>
          <w:rFonts w:eastAsia="Times New Roman"/>
          <w:b/>
          <w:lang w:eastAsia="pl-PL"/>
        </w:rPr>
        <w:t xml:space="preserve"> politykę kadrową umożliwiającą</w:t>
      </w:r>
      <w:r w:rsidR="00E70576" w:rsidRPr="00014542">
        <w:rPr>
          <w:rFonts w:eastAsia="Times New Roman"/>
          <w:b/>
          <w:lang w:eastAsia="pl-PL"/>
        </w:rPr>
        <w:t xml:space="preserve"> </w:t>
      </w:r>
      <w:r w:rsidR="00714CF5" w:rsidRPr="00014542">
        <w:rPr>
          <w:rFonts w:eastAsia="Times New Roman"/>
          <w:b/>
          <w:lang w:eastAsia="pl-PL"/>
        </w:rPr>
        <w:t>efektywne wykorzystanie potencjału pracowników naukowo-dydaktycznych, rozwój ic</w:t>
      </w:r>
      <w:r w:rsidR="00F568BB" w:rsidRPr="00014542">
        <w:rPr>
          <w:rFonts w:eastAsia="Times New Roman"/>
          <w:b/>
          <w:lang w:eastAsia="pl-PL"/>
        </w:rPr>
        <w:t>h kwalifikacji oraz</w:t>
      </w:r>
      <w:r w:rsidRPr="00014542">
        <w:rPr>
          <w:rFonts w:eastAsia="Times New Roman"/>
          <w:b/>
          <w:lang w:eastAsia="pl-PL"/>
        </w:rPr>
        <w:t xml:space="preserve"> </w:t>
      </w:r>
      <w:r w:rsidR="000A1092" w:rsidRPr="00014542">
        <w:rPr>
          <w:rFonts w:eastAsia="Times New Roman"/>
          <w:b/>
          <w:lang w:eastAsia="pl-PL"/>
        </w:rPr>
        <w:t>pozyskiwanie</w:t>
      </w:r>
      <w:r w:rsidR="00714CF5" w:rsidRPr="00014542">
        <w:rPr>
          <w:rFonts w:eastAsia="Times New Roman"/>
          <w:b/>
          <w:lang w:eastAsia="pl-PL"/>
        </w:rPr>
        <w:t xml:space="preserve"> nowych pracowników</w:t>
      </w:r>
      <w:r w:rsidR="00021E41" w:rsidRPr="00014542">
        <w:rPr>
          <w:rFonts w:eastAsia="Times New Roman"/>
          <w:b/>
          <w:lang w:eastAsia="pl-PL"/>
        </w:rPr>
        <w:t>.</w:t>
      </w:r>
    </w:p>
    <w:p w:rsidR="00A45ACE" w:rsidRPr="00AB28D8" w:rsidRDefault="000A1092" w:rsidP="00A45ACE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 xml:space="preserve">4. Zapewnienie </w:t>
      </w:r>
      <w:r w:rsidR="002E37F4" w:rsidRPr="00AB28D8">
        <w:rPr>
          <w:b/>
          <w:sz w:val="26"/>
          <w:szCs w:val="26"/>
        </w:rPr>
        <w:t>rozwoju bazy dydaktycznej i naukowej zgodnie ze strategią rozwoju jednostki</w:t>
      </w:r>
      <w:r w:rsidR="00F568BB" w:rsidRPr="00AB28D8">
        <w:rPr>
          <w:b/>
          <w:sz w:val="26"/>
          <w:szCs w:val="26"/>
        </w:rPr>
        <w:t>.</w:t>
      </w:r>
    </w:p>
    <w:p w:rsidR="00FC3153" w:rsidRPr="00014542" w:rsidRDefault="00FC3153" w:rsidP="00FC3153">
      <w:pPr>
        <w:pStyle w:val="Akapitzlist"/>
        <w:numPr>
          <w:ilvl w:val="1"/>
          <w:numId w:val="43"/>
        </w:numPr>
        <w:jc w:val="both"/>
        <w:rPr>
          <w:b/>
        </w:rPr>
      </w:pPr>
      <w:r w:rsidRPr="00014542">
        <w:rPr>
          <w:b/>
        </w:rPr>
        <w:t>Jednostka dysponuje infrastrukturą dydaktyczną</w:t>
      </w:r>
      <w:r w:rsidR="00B3323F" w:rsidRPr="00014542">
        <w:rPr>
          <w:b/>
        </w:rPr>
        <w:t xml:space="preserve"> i naukową </w:t>
      </w:r>
      <w:r w:rsidRPr="00014542">
        <w:rPr>
          <w:b/>
        </w:rPr>
        <w:t>dostosowaną do potrzeb wynikających z prowadzonej działalności dydaktycznej, zapewniającą osiągnięcie zakładanych efektów kształcenia na wszystkich rodzajach studiów</w:t>
      </w:r>
      <w:r w:rsidR="00B3323F" w:rsidRPr="00014542">
        <w:rPr>
          <w:b/>
        </w:rPr>
        <w:t xml:space="preserve"> oraz z działalności naukowej.</w:t>
      </w:r>
    </w:p>
    <w:p w:rsidR="00714CF5" w:rsidRPr="00014542" w:rsidRDefault="000A1092" w:rsidP="00FC3153">
      <w:pPr>
        <w:pStyle w:val="Akapitzlist"/>
        <w:numPr>
          <w:ilvl w:val="1"/>
          <w:numId w:val="43"/>
        </w:numPr>
        <w:jc w:val="both"/>
        <w:rPr>
          <w:b/>
        </w:rPr>
      </w:pPr>
      <w:r w:rsidRPr="00014542">
        <w:rPr>
          <w:b/>
        </w:rPr>
        <w:t xml:space="preserve">Jednostka zapewnia realizację celów strategicznych w zakresie rozwoju bazy dydaktycznej </w:t>
      </w:r>
      <w:r w:rsidR="00E70576" w:rsidRPr="00014542">
        <w:rPr>
          <w:b/>
        </w:rPr>
        <w:br/>
        <w:t xml:space="preserve">i </w:t>
      </w:r>
      <w:r w:rsidRPr="00014542">
        <w:rPr>
          <w:b/>
        </w:rPr>
        <w:t xml:space="preserve">naukowej uwzględniając potrzeby wynikające z prowadzonej działalności dydaktycznej </w:t>
      </w:r>
      <w:r w:rsidR="00E70576" w:rsidRPr="00014542">
        <w:rPr>
          <w:b/>
        </w:rPr>
        <w:br/>
      </w:r>
      <w:r w:rsidRPr="00014542">
        <w:rPr>
          <w:b/>
        </w:rPr>
        <w:t>i naukowej</w:t>
      </w:r>
      <w:r w:rsidR="00012B71" w:rsidRPr="00014542">
        <w:rPr>
          <w:b/>
        </w:rPr>
        <w:t>/artystycznej oraz możliwość osiągnięcia</w:t>
      </w:r>
      <w:r w:rsidRPr="00014542">
        <w:rPr>
          <w:b/>
        </w:rPr>
        <w:t xml:space="preserve"> zakładanych efektów kształcenia.</w:t>
      </w:r>
    </w:p>
    <w:p w:rsidR="005A3477" w:rsidRPr="00AB28D8" w:rsidRDefault="000A1092" w:rsidP="005A3477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 xml:space="preserve">5. Współdziałanie z otoczeniem społeczno-gospodarczym, współpraca z krajowymi </w:t>
      </w:r>
      <w:r w:rsidRPr="00AB28D8">
        <w:rPr>
          <w:b/>
          <w:sz w:val="26"/>
          <w:szCs w:val="26"/>
        </w:rPr>
        <w:br/>
        <w:t>i zagranicznymi instytucjami akademickimi i naukowymi.</w:t>
      </w:r>
    </w:p>
    <w:p w:rsidR="001C2DA5" w:rsidRPr="00014542" w:rsidRDefault="00286C9D" w:rsidP="001C2DA5">
      <w:pPr>
        <w:pStyle w:val="Akapitzlist"/>
        <w:numPr>
          <w:ilvl w:val="1"/>
          <w:numId w:val="35"/>
        </w:numPr>
        <w:jc w:val="both"/>
        <w:rPr>
          <w:b/>
        </w:rPr>
      </w:pPr>
      <w:r w:rsidRPr="00014542">
        <w:rPr>
          <w:b/>
        </w:rPr>
        <w:t xml:space="preserve">Jednostka </w:t>
      </w:r>
      <w:r w:rsidR="003A32AC" w:rsidRPr="00014542">
        <w:rPr>
          <w:b/>
        </w:rPr>
        <w:t xml:space="preserve">realizując strategię rozwoju </w:t>
      </w:r>
      <w:r w:rsidRPr="00014542">
        <w:rPr>
          <w:b/>
        </w:rPr>
        <w:t>współpracuje z krajowymi i zagranicznymi instytucjami akademickimi i naukowymi, a także z instytucjami działającymi w jej otoczeniu społeczno-gospodarczym oraz uczestniczy w krajowej i międzynarodowej wymian</w:t>
      </w:r>
      <w:r w:rsidR="003A32AC" w:rsidRPr="00014542">
        <w:rPr>
          <w:b/>
        </w:rPr>
        <w:t>ie studentów, doktorantów i</w:t>
      </w:r>
      <w:r w:rsidR="00004DDA" w:rsidRPr="00014542">
        <w:rPr>
          <w:b/>
        </w:rPr>
        <w:t xml:space="preserve"> nauczycieli akademickich</w:t>
      </w:r>
      <w:r w:rsidR="003A32AC" w:rsidRPr="00014542">
        <w:rPr>
          <w:b/>
        </w:rPr>
        <w:t>.</w:t>
      </w:r>
      <w:r w:rsidRPr="00014542">
        <w:rPr>
          <w:b/>
        </w:rPr>
        <w:t xml:space="preserve"> </w:t>
      </w:r>
    </w:p>
    <w:p w:rsidR="00286C9D" w:rsidRPr="00014542" w:rsidRDefault="00286C9D" w:rsidP="001C2DA5">
      <w:pPr>
        <w:pStyle w:val="Akapitzlist"/>
        <w:numPr>
          <w:ilvl w:val="1"/>
          <w:numId w:val="35"/>
        </w:numPr>
        <w:jc w:val="both"/>
        <w:rPr>
          <w:b/>
        </w:rPr>
      </w:pPr>
      <w:r w:rsidRPr="00014542">
        <w:rPr>
          <w:b/>
        </w:rPr>
        <w:t>Jednostka dąży do umiędzynarodowienia procesu kształcenia</w:t>
      </w:r>
      <w:r w:rsidR="002A0C94" w:rsidRPr="00014542">
        <w:rPr>
          <w:b/>
        </w:rPr>
        <w:t>,</w:t>
      </w:r>
      <w:r w:rsidRPr="00014542">
        <w:rPr>
          <w:b/>
        </w:rPr>
        <w:t xml:space="preserve"> </w:t>
      </w:r>
      <w:r w:rsidR="00004DDA" w:rsidRPr="00014542">
        <w:rPr>
          <w:b/>
        </w:rPr>
        <w:t xml:space="preserve">m.in. poprzez </w:t>
      </w:r>
      <w:r w:rsidR="002940D7" w:rsidRPr="00014542">
        <w:rPr>
          <w:b/>
        </w:rPr>
        <w:t>mobilność</w:t>
      </w:r>
      <w:r w:rsidR="00F23E34" w:rsidRPr="00014542">
        <w:rPr>
          <w:b/>
        </w:rPr>
        <w:t xml:space="preserve"> studentów, </w:t>
      </w:r>
      <w:r w:rsidRPr="00014542">
        <w:rPr>
          <w:b/>
        </w:rPr>
        <w:t>doktorantów</w:t>
      </w:r>
      <w:r w:rsidR="00C4173B" w:rsidRPr="00014542">
        <w:rPr>
          <w:b/>
        </w:rPr>
        <w:t xml:space="preserve"> i </w:t>
      </w:r>
      <w:r w:rsidRPr="00014542">
        <w:rPr>
          <w:b/>
        </w:rPr>
        <w:t xml:space="preserve">nauczycieli </w:t>
      </w:r>
      <w:r w:rsidR="00004DDA" w:rsidRPr="00014542">
        <w:rPr>
          <w:b/>
        </w:rPr>
        <w:t>akademickich</w:t>
      </w:r>
      <w:r w:rsidR="00FC3153" w:rsidRPr="00014542">
        <w:rPr>
          <w:b/>
        </w:rPr>
        <w:t>, realizację programów kształcenia w językach obcych, prowadzenie zajęć w językach obcych,</w:t>
      </w:r>
      <w:r w:rsidR="00C4173B" w:rsidRPr="00014542">
        <w:rPr>
          <w:b/>
        </w:rPr>
        <w:t xml:space="preserve"> ofertę kształcenia dla studentów zagranicznych</w:t>
      </w:r>
      <w:r w:rsidR="0090025A" w:rsidRPr="00014542">
        <w:rPr>
          <w:b/>
        </w:rPr>
        <w:t>.</w:t>
      </w:r>
    </w:p>
    <w:p w:rsidR="00286C9D" w:rsidRPr="00AB28D8" w:rsidRDefault="00286C9D" w:rsidP="009C679B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>6. Funkcjonowanie systemu wsparcia studentów i doktorantów.</w:t>
      </w:r>
    </w:p>
    <w:p w:rsidR="00A553D0" w:rsidRPr="00014542" w:rsidRDefault="00DC60C1" w:rsidP="002A0C94">
      <w:pPr>
        <w:spacing w:after="0" w:line="240" w:lineRule="auto"/>
        <w:ind w:left="426" w:hanging="426"/>
        <w:jc w:val="both"/>
        <w:rPr>
          <w:b/>
        </w:rPr>
      </w:pPr>
      <w:r w:rsidRPr="00F568BB">
        <w:t>6.1</w:t>
      </w:r>
      <w:r w:rsidRPr="00014542">
        <w:rPr>
          <w:b/>
        </w:rPr>
        <w:t>. Jednostka zapewnia studentom i doktorantom wsparcie naukowe, dyda</w:t>
      </w:r>
      <w:r w:rsidR="00E70576" w:rsidRPr="00014542">
        <w:rPr>
          <w:b/>
        </w:rPr>
        <w:t xml:space="preserve">ktyczne i materialne </w:t>
      </w:r>
      <w:r w:rsidR="00E70576" w:rsidRPr="00014542">
        <w:rPr>
          <w:b/>
        </w:rPr>
        <w:br/>
        <w:t>w procesie</w:t>
      </w:r>
      <w:r w:rsidR="00057602" w:rsidRPr="00014542">
        <w:rPr>
          <w:b/>
        </w:rPr>
        <w:t xml:space="preserve"> </w:t>
      </w:r>
      <w:r w:rsidRPr="00014542">
        <w:rPr>
          <w:b/>
        </w:rPr>
        <w:t>uzyskiwania efektów kształcenia oraz rozwoju aktywności nauko</w:t>
      </w:r>
      <w:r w:rsidR="00A553D0" w:rsidRPr="00014542">
        <w:rPr>
          <w:b/>
        </w:rPr>
        <w:t>wej, artystycznej lub sportowej</w:t>
      </w:r>
      <w:r w:rsidR="00021E41" w:rsidRPr="00014542">
        <w:rPr>
          <w:b/>
        </w:rPr>
        <w:t>.</w:t>
      </w:r>
    </w:p>
    <w:p w:rsidR="000A6F21" w:rsidRPr="00014542" w:rsidRDefault="00DC60C1" w:rsidP="005A3477">
      <w:pPr>
        <w:pStyle w:val="Akapitzlist"/>
        <w:numPr>
          <w:ilvl w:val="2"/>
          <w:numId w:val="41"/>
        </w:numPr>
        <w:spacing w:after="0" w:line="240" w:lineRule="auto"/>
        <w:jc w:val="both"/>
        <w:rPr>
          <w:b/>
        </w:rPr>
      </w:pPr>
      <w:r w:rsidRPr="00014542">
        <w:rPr>
          <w:b/>
        </w:rPr>
        <w:t xml:space="preserve">Jednostka wdrożyła zorientowany na </w:t>
      </w:r>
      <w:r w:rsidR="00004DDA" w:rsidRPr="00014542">
        <w:rPr>
          <w:b/>
        </w:rPr>
        <w:t xml:space="preserve">potrzeby </w:t>
      </w:r>
      <w:r w:rsidRPr="00014542">
        <w:rPr>
          <w:b/>
        </w:rPr>
        <w:t>studentów i doktorantów, system opieki naukowej, dydaktycznej i materialnej, uwzględniający potrzeby osób niepełnosprawnych</w:t>
      </w:r>
      <w:r w:rsidR="0090025A" w:rsidRPr="00014542">
        <w:rPr>
          <w:b/>
        </w:rPr>
        <w:t>,</w:t>
      </w:r>
    </w:p>
    <w:p w:rsidR="000A6F21" w:rsidRPr="00F568BB" w:rsidRDefault="00DC60C1" w:rsidP="005A3477">
      <w:pPr>
        <w:pStyle w:val="Akapitzlist"/>
        <w:numPr>
          <w:ilvl w:val="2"/>
          <w:numId w:val="41"/>
        </w:numPr>
        <w:spacing w:after="0" w:line="240" w:lineRule="auto"/>
        <w:jc w:val="both"/>
      </w:pPr>
      <w:r w:rsidRPr="00F568BB">
        <w:t xml:space="preserve">Jednostka wdrożyła skuteczny i przejrzysty system rozpatrywania skarg i rozwiązywania sytuacji </w:t>
      </w:r>
      <w:r w:rsidR="000A6F21" w:rsidRPr="00F568BB">
        <w:t>konfliktowych</w:t>
      </w:r>
      <w:r w:rsidR="0090025A" w:rsidRPr="00F568BB">
        <w:t>,</w:t>
      </w:r>
    </w:p>
    <w:p w:rsidR="00021E41" w:rsidRPr="00014542" w:rsidRDefault="00DC60C1" w:rsidP="002A0C94">
      <w:pPr>
        <w:pStyle w:val="Akapitzlist"/>
        <w:numPr>
          <w:ilvl w:val="2"/>
          <w:numId w:val="41"/>
        </w:numPr>
        <w:jc w:val="both"/>
        <w:rPr>
          <w:b/>
        </w:rPr>
      </w:pPr>
      <w:r w:rsidRPr="00014542">
        <w:rPr>
          <w:b/>
        </w:rPr>
        <w:t xml:space="preserve">Jednostka wspiera działalność samorządu i innych organizacji zrzeszających studentów lub doktorantów oraz współpracuje z nimi, mając na uwadze realizację strategii; jednostka przeprowadza działania mające na celu aktywne włączenie studentów oraz doktorantów do prac organów kolegialnych jednostki, komisji statutowych i doraźnych, zwłaszcza tych, </w:t>
      </w:r>
      <w:r w:rsidRPr="00014542">
        <w:rPr>
          <w:b/>
        </w:rPr>
        <w:lastRenderedPageBreak/>
        <w:t xml:space="preserve">których celem jest zarządzanie procesem dydaktycznym, zapewnienie i doskonalenie jakości </w:t>
      </w:r>
      <w:r w:rsidR="009956EC" w:rsidRPr="00014542">
        <w:rPr>
          <w:b/>
        </w:rPr>
        <w:t xml:space="preserve">kształcenia oraz </w:t>
      </w:r>
      <w:r w:rsidRPr="00014542">
        <w:rPr>
          <w:b/>
        </w:rPr>
        <w:t>zapewnienie wsparcia naukowego, dydaktycznego i materialnego</w:t>
      </w:r>
      <w:r w:rsidR="0090025A" w:rsidRPr="00014542">
        <w:rPr>
          <w:b/>
        </w:rPr>
        <w:t>.</w:t>
      </w:r>
    </w:p>
    <w:p w:rsidR="005A3477" w:rsidRPr="00AB28D8" w:rsidRDefault="00DC60C1" w:rsidP="00F23E34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>7. Jakość kszta</w:t>
      </w:r>
      <w:r w:rsidR="00021E41" w:rsidRPr="00AB28D8">
        <w:rPr>
          <w:b/>
          <w:sz w:val="26"/>
          <w:szCs w:val="26"/>
        </w:rPr>
        <w:t>łcenia na studiach doktoranckich.</w:t>
      </w:r>
    </w:p>
    <w:p w:rsidR="00C928EA" w:rsidRPr="00014542" w:rsidRDefault="00C928EA" w:rsidP="009956EC">
      <w:pPr>
        <w:pStyle w:val="Akapitzlist"/>
        <w:numPr>
          <w:ilvl w:val="1"/>
          <w:numId w:val="21"/>
        </w:numPr>
        <w:ind w:left="426" w:hanging="426"/>
        <w:jc w:val="both"/>
        <w:rPr>
          <w:b/>
        </w:rPr>
      </w:pPr>
      <w:r w:rsidRPr="00014542">
        <w:rPr>
          <w:b/>
        </w:rPr>
        <w:t>Jednostka opracowała program studi</w:t>
      </w:r>
      <w:r w:rsidR="00057602" w:rsidRPr="00014542">
        <w:rPr>
          <w:b/>
        </w:rPr>
        <w:t xml:space="preserve">ów doktoranckich zapewniający </w:t>
      </w:r>
      <w:r w:rsidRPr="00014542">
        <w:rPr>
          <w:b/>
        </w:rPr>
        <w:t>osiągnięcie efektów właściwych dla obszaru wiedzy, dziedziny nauki</w:t>
      </w:r>
      <w:r w:rsidR="00CB0A78" w:rsidRPr="00014542">
        <w:rPr>
          <w:b/>
        </w:rPr>
        <w:t>/sztuki</w:t>
      </w:r>
      <w:r w:rsidRPr="00014542">
        <w:rPr>
          <w:b/>
        </w:rPr>
        <w:t xml:space="preserve"> oraz dyscypliny naukowej</w:t>
      </w:r>
      <w:r w:rsidR="00CB0A78" w:rsidRPr="00014542">
        <w:rPr>
          <w:b/>
        </w:rPr>
        <w:t>/artystycznej</w:t>
      </w:r>
      <w:r w:rsidRPr="00014542">
        <w:rPr>
          <w:b/>
        </w:rPr>
        <w:t>, której dotyczą studia</w:t>
      </w:r>
      <w:r w:rsidR="009956EC" w:rsidRPr="00014542">
        <w:rPr>
          <w:b/>
        </w:rPr>
        <w:t>.</w:t>
      </w:r>
    </w:p>
    <w:p w:rsidR="00C928EA" w:rsidRPr="004047C2" w:rsidRDefault="00C928EA" w:rsidP="009956EC">
      <w:pPr>
        <w:pStyle w:val="Akapitzlist"/>
        <w:numPr>
          <w:ilvl w:val="1"/>
          <w:numId w:val="21"/>
        </w:numPr>
        <w:ind w:left="426" w:hanging="426"/>
        <w:jc w:val="both"/>
      </w:pPr>
      <w:r w:rsidRPr="004047C2">
        <w:t xml:space="preserve">Jednostka zapewnia </w:t>
      </w:r>
      <w:r w:rsidR="00012B71" w:rsidRPr="004047C2">
        <w:t xml:space="preserve">doktorantom </w:t>
      </w:r>
      <w:r w:rsidRPr="004047C2">
        <w:t>prowadzenie samodzielnych badań naukowych, w tym także poza j</w:t>
      </w:r>
      <w:r w:rsidR="0090025A" w:rsidRPr="004047C2">
        <w:t>ednostką prowadzącą kształcenie</w:t>
      </w:r>
      <w:r w:rsidR="009956EC" w:rsidRPr="004047C2">
        <w:t>.</w:t>
      </w:r>
    </w:p>
    <w:p w:rsidR="00F23E34" w:rsidRPr="00F568BB" w:rsidRDefault="00F23E34" w:rsidP="00F23E34">
      <w:pPr>
        <w:pStyle w:val="Akapitzlist"/>
        <w:numPr>
          <w:ilvl w:val="1"/>
          <w:numId w:val="21"/>
        </w:numPr>
        <w:jc w:val="both"/>
      </w:pPr>
      <w:r w:rsidRPr="00F568BB">
        <w:t>Jednostka stosuje system ECTS, w którym liczba punktów odpowiada nakładowi pracy doktoranta, niezbędnemu do osiągnięcia zakładanych efektów kształcenia</w:t>
      </w:r>
      <w:r w:rsidR="009956EC">
        <w:t>.</w:t>
      </w:r>
    </w:p>
    <w:p w:rsidR="0090025A" w:rsidRPr="00014542" w:rsidRDefault="00C928EA" w:rsidP="00DC60C1">
      <w:pPr>
        <w:pStyle w:val="Akapitzlist"/>
        <w:numPr>
          <w:ilvl w:val="1"/>
          <w:numId w:val="21"/>
        </w:numPr>
        <w:jc w:val="both"/>
        <w:rPr>
          <w:b/>
        </w:rPr>
      </w:pPr>
      <w:r w:rsidRPr="00014542">
        <w:rPr>
          <w:b/>
        </w:rPr>
        <w:t>Jednostka stosuje na studiach doktoranckich wiarygodny, rzeteln</w:t>
      </w:r>
      <w:r w:rsidR="009956EC" w:rsidRPr="00014542">
        <w:rPr>
          <w:b/>
        </w:rPr>
        <w:t xml:space="preserve">y i przejrzysty system oceny stopnia osiągnięcia zakładanych </w:t>
      </w:r>
      <w:r w:rsidRPr="00014542">
        <w:rPr>
          <w:b/>
        </w:rPr>
        <w:t>celów i efektów kształcenia.</w:t>
      </w:r>
    </w:p>
    <w:p w:rsidR="00DC60C1" w:rsidRPr="00AB28D8" w:rsidRDefault="00DC60C1" w:rsidP="00DC60C1">
      <w:pPr>
        <w:jc w:val="both"/>
        <w:rPr>
          <w:b/>
          <w:sz w:val="26"/>
          <w:szCs w:val="26"/>
        </w:rPr>
      </w:pPr>
      <w:r w:rsidRPr="00AB28D8">
        <w:rPr>
          <w:b/>
          <w:sz w:val="26"/>
          <w:szCs w:val="26"/>
        </w:rPr>
        <w:t>8. Jakość kształcenia na studiach podyplomowych</w:t>
      </w:r>
      <w:r w:rsidR="00021E41" w:rsidRPr="00AB28D8">
        <w:rPr>
          <w:b/>
          <w:sz w:val="26"/>
          <w:szCs w:val="26"/>
        </w:rPr>
        <w:t>.</w:t>
      </w:r>
    </w:p>
    <w:p w:rsidR="007633CC" w:rsidRPr="00014542" w:rsidRDefault="009C679B" w:rsidP="007633CC">
      <w:pPr>
        <w:pStyle w:val="Akapitzlist"/>
        <w:numPr>
          <w:ilvl w:val="1"/>
          <w:numId w:val="22"/>
        </w:numPr>
        <w:jc w:val="both"/>
        <w:rPr>
          <w:b/>
        </w:rPr>
      </w:pPr>
      <w:r w:rsidRPr="00014542">
        <w:rPr>
          <w:b/>
        </w:rPr>
        <w:t>Jed</w:t>
      </w:r>
      <w:r w:rsidR="00DC60C1" w:rsidRPr="00014542">
        <w:rPr>
          <w:b/>
        </w:rPr>
        <w:t>nostka umożliwia</w:t>
      </w:r>
      <w:r w:rsidRPr="00014542">
        <w:rPr>
          <w:b/>
        </w:rPr>
        <w:t xml:space="preserve"> osiągnięcie przez słuchacz</w:t>
      </w:r>
      <w:r w:rsidR="009956EC" w:rsidRPr="00014542">
        <w:rPr>
          <w:b/>
        </w:rPr>
        <w:t xml:space="preserve">y efektów kształcenia zgodnych </w:t>
      </w:r>
      <w:r w:rsidRPr="00014542">
        <w:rPr>
          <w:b/>
        </w:rPr>
        <w:t>z wymaganiami organizacji zawodowych i pr</w:t>
      </w:r>
      <w:r w:rsidR="009956EC" w:rsidRPr="00014542">
        <w:rPr>
          <w:b/>
        </w:rPr>
        <w:t xml:space="preserve">acodawców oraz umożliwiających </w:t>
      </w:r>
      <w:r w:rsidRPr="00014542">
        <w:rPr>
          <w:b/>
        </w:rPr>
        <w:t>nabycie uprawnień do wykonywania zawodu lub nowych umiejętności niezbędnych na rynku pracy</w:t>
      </w:r>
      <w:r w:rsidR="00B40B7C" w:rsidRPr="00014542">
        <w:rPr>
          <w:b/>
        </w:rPr>
        <w:t>.</w:t>
      </w:r>
    </w:p>
    <w:p w:rsidR="007633CC" w:rsidRPr="004047C2" w:rsidRDefault="007633CC" w:rsidP="007633CC">
      <w:pPr>
        <w:pStyle w:val="Akapitzlist"/>
        <w:numPr>
          <w:ilvl w:val="1"/>
          <w:numId w:val="22"/>
        </w:numPr>
        <w:jc w:val="both"/>
      </w:pPr>
      <w:r w:rsidRPr="004047C2">
        <w:t>Jednostka stosu</w:t>
      </w:r>
      <w:bookmarkStart w:id="0" w:name="_GoBack"/>
      <w:bookmarkEnd w:id="0"/>
      <w:r w:rsidRPr="004047C2">
        <w:t>je na studiach podyplomowych wiarygodny, rzetelny i pr</w:t>
      </w:r>
      <w:r w:rsidR="00B40B7C" w:rsidRPr="004047C2">
        <w:t xml:space="preserve">zejrzysty system oceny stopnia osiągnięcia zakładanych </w:t>
      </w:r>
      <w:r w:rsidRPr="004047C2">
        <w:t>celów i efektów kształcenia</w:t>
      </w:r>
      <w:r w:rsidR="00B40B7C" w:rsidRPr="004047C2">
        <w:t>.</w:t>
      </w:r>
    </w:p>
    <w:p w:rsidR="007633CC" w:rsidRPr="00014542" w:rsidRDefault="009C679B" w:rsidP="007633CC">
      <w:pPr>
        <w:pStyle w:val="Akapitzlist"/>
        <w:numPr>
          <w:ilvl w:val="1"/>
          <w:numId w:val="22"/>
        </w:numPr>
        <w:jc w:val="both"/>
        <w:rPr>
          <w:b/>
        </w:rPr>
      </w:pPr>
      <w:r w:rsidRPr="00014542">
        <w:rPr>
          <w:b/>
        </w:rPr>
        <w:t>Wewnętrzni i zewnętrzni interesariusze uczestniczą w procesie określania efektów kształcenia oraz w weryfikacji i ocenie osiągniętych efektów kształcenia</w:t>
      </w:r>
      <w:r w:rsidR="00B40B7C" w:rsidRPr="00014542">
        <w:rPr>
          <w:b/>
        </w:rPr>
        <w:t>.</w:t>
      </w:r>
    </w:p>
    <w:p w:rsidR="007633CC" w:rsidRPr="00F568BB" w:rsidRDefault="009C679B" w:rsidP="007633CC">
      <w:pPr>
        <w:pStyle w:val="Akapitzlist"/>
        <w:numPr>
          <w:ilvl w:val="1"/>
          <w:numId w:val="22"/>
        </w:numPr>
        <w:jc w:val="both"/>
      </w:pPr>
      <w:r w:rsidRPr="00F568BB">
        <w:t>Jednostka stosuje system ECTS, w którym liczba punktów odpowiada nakładowi pracy słuchacza studiów podyplomowych, niezbędnemu do osiągnięcia zakładanych efektów kształcenia</w:t>
      </w:r>
      <w:r w:rsidR="0090025A" w:rsidRPr="00F568BB">
        <w:t>.</w:t>
      </w:r>
    </w:p>
    <w:p w:rsidR="009B02FC" w:rsidRPr="00F568BB" w:rsidRDefault="009B02FC" w:rsidP="009C679B">
      <w:pPr>
        <w:jc w:val="both"/>
        <w:rPr>
          <w:b/>
        </w:rPr>
      </w:pPr>
    </w:p>
    <w:p w:rsidR="00004DDA" w:rsidRPr="00F568BB" w:rsidRDefault="00761F42" w:rsidP="002940D7">
      <w:pPr>
        <w:spacing w:after="0" w:line="240" w:lineRule="auto"/>
        <w:jc w:val="both"/>
      </w:pPr>
      <w:r w:rsidRPr="00F568BB">
        <w:t>Komisja dokonując oceny instytucjonalnej uwzględnia także</w:t>
      </w:r>
      <w:r w:rsidR="00004DDA" w:rsidRPr="00F568BB">
        <w:t>:</w:t>
      </w:r>
    </w:p>
    <w:p w:rsidR="00004DDA" w:rsidRPr="00F568BB" w:rsidRDefault="00004DDA" w:rsidP="002940D7">
      <w:pPr>
        <w:spacing w:after="0" w:line="240" w:lineRule="auto"/>
        <w:jc w:val="both"/>
      </w:pPr>
      <w:r w:rsidRPr="00F568BB">
        <w:t>-</w:t>
      </w:r>
      <w:r w:rsidR="00761F42" w:rsidRPr="00F568BB">
        <w:t xml:space="preserve"> wyniki oceny programowej, </w:t>
      </w:r>
    </w:p>
    <w:p w:rsidR="00004DDA" w:rsidRPr="00F568BB" w:rsidRDefault="00004DDA" w:rsidP="002940D7">
      <w:pPr>
        <w:spacing w:after="0" w:line="240" w:lineRule="auto"/>
        <w:jc w:val="both"/>
      </w:pPr>
      <w:r w:rsidRPr="00F568BB">
        <w:t xml:space="preserve">- </w:t>
      </w:r>
      <w:r w:rsidR="00761F42" w:rsidRPr="00F568BB">
        <w:t xml:space="preserve">wyniki kompleksowej oceny jakości </w:t>
      </w:r>
      <w:r w:rsidR="00A553D0" w:rsidRPr="00F568BB">
        <w:t xml:space="preserve">działalności naukowej lub badawczo-rozwojowej jednostki, </w:t>
      </w:r>
      <w:r w:rsidR="00B40B7C">
        <w:br/>
      </w:r>
      <w:r w:rsidR="002940D7" w:rsidRPr="00F568BB">
        <w:t>o której mowa w przepisach o zasadach finansowania nauki,</w:t>
      </w:r>
    </w:p>
    <w:p w:rsidR="00761F42" w:rsidRPr="00F568BB" w:rsidRDefault="00004DDA" w:rsidP="002940D7">
      <w:pPr>
        <w:spacing w:after="0" w:line="240" w:lineRule="auto"/>
        <w:jc w:val="both"/>
      </w:pPr>
      <w:r w:rsidRPr="00F568BB">
        <w:t xml:space="preserve">- </w:t>
      </w:r>
      <w:r w:rsidR="00A553D0" w:rsidRPr="00F568BB">
        <w:t xml:space="preserve">akredytacje i certyfikaty uzyskane w wyniku oceny przeprowadzonej </w:t>
      </w:r>
      <w:r w:rsidR="00012B71" w:rsidRPr="00F568BB">
        <w:t xml:space="preserve">w jednostce </w:t>
      </w:r>
      <w:r w:rsidR="00A553D0" w:rsidRPr="00F568BB">
        <w:t xml:space="preserve">przez </w:t>
      </w:r>
      <w:r w:rsidRPr="00F568BB">
        <w:t xml:space="preserve">międzynarodowe </w:t>
      </w:r>
      <w:r w:rsidR="00B40B7C">
        <w:t>i krajowe</w:t>
      </w:r>
      <w:r w:rsidRPr="00F568BB">
        <w:t xml:space="preserve"> komisje branżowe dokonujące ocen w wybranych obszarach kształcenia o</w:t>
      </w:r>
      <w:r w:rsidR="0090025A" w:rsidRPr="00F568BB">
        <w:t xml:space="preserve">raz przez agencje akredytacyjne </w:t>
      </w:r>
      <w:r w:rsidRPr="00F568BB">
        <w:t xml:space="preserve">zarejestrowane w </w:t>
      </w:r>
      <w:r w:rsidR="00B40B7C">
        <w:t>E</w:t>
      </w:r>
      <w:r w:rsidRPr="00F568BB">
        <w:t>uropejskim Rejestrze Agencji</w:t>
      </w:r>
      <w:r w:rsidR="002940D7" w:rsidRPr="00F568BB">
        <w:t xml:space="preserve"> A</w:t>
      </w:r>
      <w:r w:rsidRPr="00F568BB">
        <w:t>kredytacyjny</w:t>
      </w:r>
      <w:r w:rsidR="002940D7" w:rsidRPr="00F568BB">
        <w:t>ch (EQAR) lub agencje, z którymi</w:t>
      </w:r>
      <w:r w:rsidRPr="00F568BB">
        <w:t xml:space="preserve"> Komisja zawarła umowy o </w:t>
      </w:r>
      <w:r w:rsidR="002940D7" w:rsidRPr="00F568BB">
        <w:t>uznawalności</w:t>
      </w:r>
      <w:r w:rsidRPr="00F568BB">
        <w:t xml:space="preserve"> ocen akredytacyjnych. </w:t>
      </w:r>
      <w:r w:rsidR="00A553D0" w:rsidRPr="00F568BB">
        <w:t xml:space="preserve"> </w:t>
      </w:r>
    </w:p>
    <w:sectPr w:rsidR="00761F42" w:rsidRPr="00F56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DD" w:rsidRDefault="000903DD" w:rsidP="00B40B7C">
      <w:pPr>
        <w:spacing w:after="0" w:line="240" w:lineRule="auto"/>
      </w:pPr>
      <w:r>
        <w:separator/>
      </w:r>
    </w:p>
  </w:endnote>
  <w:endnote w:type="continuationSeparator" w:id="0">
    <w:p w:rsidR="000903DD" w:rsidRDefault="000903DD" w:rsidP="00B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82022"/>
      <w:docPartObj>
        <w:docPartGallery w:val="Page Numbers (Bottom of Page)"/>
        <w:docPartUnique/>
      </w:docPartObj>
    </w:sdtPr>
    <w:sdtEndPr/>
    <w:sdtContent>
      <w:p w:rsidR="00B40B7C" w:rsidRDefault="00B40B7C">
        <w:pPr>
          <w:pStyle w:val="Stopka"/>
          <w:jc w:val="right"/>
        </w:pPr>
        <w:r w:rsidRPr="00CE3F66">
          <w:rPr>
            <w:sz w:val="20"/>
          </w:rPr>
          <w:fldChar w:fldCharType="begin"/>
        </w:r>
        <w:r w:rsidRPr="00CE3F66">
          <w:rPr>
            <w:sz w:val="20"/>
          </w:rPr>
          <w:instrText>PAGE   \* MERGEFORMAT</w:instrText>
        </w:r>
        <w:r w:rsidRPr="00CE3F66">
          <w:rPr>
            <w:sz w:val="20"/>
          </w:rPr>
          <w:fldChar w:fldCharType="separate"/>
        </w:r>
        <w:r w:rsidR="004047C2">
          <w:rPr>
            <w:noProof/>
            <w:sz w:val="20"/>
          </w:rPr>
          <w:t>3</w:t>
        </w:r>
        <w:r w:rsidRPr="00CE3F66">
          <w:rPr>
            <w:sz w:val="20"/>
          </w:rPr>
          <w:fldChar w:fldCharType="end"/>
        </w:r>
      </w:p>
    </w:sdtContent>
  </w:sdt>
  <w:p w:rsidR="00B40B7C" w:rsidRDefault="00B40B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DD" w:rsidRDefault="000903DD" w:rsidP="00B40B7C">
      <w:pPr>
        <w:spacing w:after="0" w:line="240" w:lineRule="auto"/>
      </w:pPr>
      <w:r>
        <w:separator/>
      </w:r>
    </w:p>
  </w:footnote>
  <w:footnote w:type="continuationSeparator" w:id="0">
    <w:p w:rsidR="000903DD" w:rsidRDefault="000903DD" w:rsidP="00B4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FB2"/>
    <w:multiLevelType w:val="hybridMultilevel"/>
    <w:tmpl w:val="D35AA77C"/>
    <w:lvl w:ilvl="0" w:tplc="15AA79C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33C"/>
    <w:multiLevelType w:val="multilevel"/>
    <w:tmpl w:val="0415001D"/>
    <w:numStyleLink w:val="Styl2"/>
  </w:abstractNum>
  <w:abstractNum w:abstractNumId="2">
    <w:nsid w:val="059D7A41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">
    <w:nsid w:val="066B78BD"/>
    <w:multiLevelType w:val="multilevel"/>
    <w:tmpl w:val="5968789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95E04C1"/>
    <w:multiLevelType w:val="multilevel"/>
    <w:tmpl w:val="078006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09716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1E39E2"/>
    <w:multiLevelType w:val="hybridMultilevel"/>
    <w:tmpl w:val="C82E31A2"/>
    <w:lvl w:ilvl="0" w:tplc="15E090F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25DAE"/>
    <w:multiLevelType w:val="hybridMultilevel"/>
    <w:tmpl w:val="B2F86E9C"/>
    <w:lvl w:ilvl="0" w:tplc="B8F4F99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85B4E"/>
    <w:multiLevelType w:val="multilevel"/>
    <w:tmpl w:val="2E5CDE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FC53134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11D60506"/>
    <w:multiLevelType w:val="multilevel"/>
    <w:tmpl w:val="CB68E2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2A90623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>
    <w:nsid w:val="141A62D7"/>
    <w:multiLevelType w:val="hybridMultilevel"/>
    <w:tmpl w:val="DA849C34"/>
    <w:lvl w:ilvl="0" w:tplc="02EEDBE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4D7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195D38E7"/>
    <w:multiLevelType w:val="hybridMultilevel"/>
    <w:tmpl w:val="634A6508"/>
    <w:lvl w:ilvl="0" w:tplc="AE2C4A3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87C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654175"/>
    <w:multiLevelType w:val="multilevel"/>
    <w:tmpl w:val="0415001D"/>
    <w:numStyleLink w:val="Styl1"/>
  </w:abstractNum>
  <w:abstractNum w:abstractNumId="17">
    <w:nsid w:val="28451BC3"/>
    <w:multiLevelType w:val="multilevel"/>
    <w:tmpl w:val="70FE5A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2338A2"/>
    <w:multiLevelType w:val="multilevel"/>
    <w:tmpl w:val="C29C8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9">
    <w:nsid w:val="30711AB2"/>
    <w:multiLevelType w:val="hybridMultilevel"/>
    <w:tmpl w:val="8788D8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72342E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2B05641"/>
    <w:multiLevelType w:val="hybridMultilevel"/>
    <w:tmpl w:val="E71E0F0C"/>
    <w:lvl w:ilvl="0" w:tplc="A694208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36729"/>
    <w:multiLevelType w:val="multilevel"/>
    <w:tmpl w:val="B038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3">
    <w:nsid w:val="3EF03625"/>
    <w:multiLevelType w:val="multilevel"/>
    <w:tmpl w:val="B3DA5F7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1517682"/>
    <w:multiLevelType w:val="hybridMultilevel"/>
    <w:tmpl w:val="77ECF532"/>
    <w:lvl w:ilvl="0" w:tplc="AE2C4A3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73D3"/>
    <w:multiLevelType w:val="multilevel"/>
    <w:tmpl w:val="84A05DE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440"/>
      </w:pPr>
      <w:rPr>
        <w:rFonts w:hint="default"/>
      </w:rPr>
    </w:lvl>
  </w:abstractNum>
  <w:abstractNum w:abstractNumId="26">
    <w:nsid w:val="44997138"/>
    <w:multiLevelType w:val="multilevel"/>
    <w:tmpl w:val="0415001D"/>
    <w:styleLink w:val="Styl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AE01A3"/>
    <w:multiLevelType w:val="hybridMultilevel"/>
    <w:tmpl w:val="CD583CC2"/>
    <w:lvl w:ilvl="0" w:tplc="E3B64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92F01"/>
    <w:multiLevelType w:val="multilevel"/>
    <w:tmpl w:val="0415001D"/>
    <w:numStyleLink w:val="Styl1"/>
  </w:abstractNum>
  <w:abstractNum w:abstractNumId="29">
    <w:nsid w:val="534C51E3"/>
    <w:multiLevelType w:val="hybridMultilevel"/>
    <w:tmpl w:val="9A5EA304"/>
    <w:lvl w:ilvl="0" w:tplc="723248C0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87ED8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1">
    <w:nsid w:val="55C6444D"/>
    <w:multiLevelType w:val="hybridMultilevel"/>
    <w:tmpl w:val="18F8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D454D"/>
    <w:multiLevelType w:val="hybridMultilevel"/>
    <w:tmpl w:val="B78E4BE6"/>
    <w:lvl w:ilvl="0" w:tplc="DB2260CA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93A28"/>
    <w:multiLevelType w:val="hybridMultilevel"/>
    <w:tmpl w:val="BE320A48"/>
    <w:lvl w:ilvl="0" w:tplc="E79E20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26E8"/>
    <w:multiLevelType w:val="multilevel"/>
    <w:tmpl w:val="A962A3B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5">
    <w:nsid w:val="6DC6232E"/>
    <w:multiLevelType w:val="multilevel"/>
    <w:tmpl w:val="5968789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E545693"/>
    <w:multiLevelType w:val="multilevel"/>
    <w:tmpl w:val="2D708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2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7">
    <w:nsid w:val="704C5E1F"/>
    <w:multiLevelType w:val="multilevel"/>
    <w:tmpl w:val="15B413B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12B42F7"/>
    <w:multiLevelType w:val="multilevel"/>
    <w:tmpl w:val="651443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1423116"/>
    <w:multiLevelType w:val="hybridMultilevel"/>
    <w:tmpl w:val="76A04ADA"/>
    <w:lvl w:ilvl="0" w:tplc="AE48A5E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7243D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1">
    <w:nsid w:val="780E7C92"/>
    <w:multiLevelType w:val="multilevel"/>
    <w:tmpl w:val="6B82B2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9404FD4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A8A437A"/>
    <w:multiLevelType w:val="multilevel"/>
    <w:tmpl w:val="E11C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FA542AB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33"/>
  </w:num>
  <w:num w:numId="5">
    <w:abstractNumId w:val="24"/>
  </w:num>
  <w:num w:numId="6">
    <w:abstractNumId w:val="14"/>
  </w:num>
  <w:num w:numId="7">
    <w:abstractNumId w:val="32"/>
  </w:num>
  <w:num w:numId="8">
    <w:abstractNumId w:val="6"/>
  </w:num>
  <w:num w:numId="9">
    <w:abstractNumId w:val="27"/>
  </w:num>
  <w:num w:numId="10">
    <w:abstractNumId w:val="21"/>
  </w:num>
  <w:num w:numId="11">
    <w:abstractNumId w:val="7"/>
  </w:num>
  <w:num w:numId="12">
    <w:abstractNumId w:val="39"/>
  </w:num>
  <w:num w:numId="13">
    <w:abstractNumId w:val="13"/>
  </w:num>
  <w:num w:numId="14">
    <w:abstractNumId w:val="41"/>
  </w:num>
  <w:num w:numId="15">
    <w:abstractNumId w:val="38"/>
  </w:num>
  <w:num w:numId="16">
    <w:abstractNumId w:val="17"/>
  </w:num>
  <w:num w:numId="17">
    <w:abstractNumId w:val="10"/>
  </w:num>
  <w:num w:numId="18">
    <w:abstractNumId w:val="37"/>
  </w:num>
  <w:num w:numId="19">
    <w:abstractNumId w:val="40"/>
  </w:num>
  <w:num w:numId="20">
    <w:abstractNumId w:val="20"/>
  </w:num>
  <w:num w:numId="21">
    <w:abstractNumId w:val="8"/>
  </w:num>
  <w:num w:numId="22">
    <w:abstractNumId w:val="43"/>
  </w:num>
  <w:num w:numId="23">
    <w:abstractNumId w:val="44"/>
  </w:num>
  <w:num w:numId="24">
    <w:abstractNumId w:val="34"/>
  </w:num>
  <w:num w:numId="25">
    <w:abstractNumId w:val="11"/>
  </w:num>
  <w:num w:numId="26">
    <w:abstractNumId w:val="26"/>
  </w:num>
  <w:num w:numId="27">
    <w:abstractNumId w:val="28"/>
  </w:num>
  <w:num w:numId="28">
    <w:abstractNumId w:val="16"/>
  </w:num>
  <w:num w:numId="29">
    <w:abstractNumId w:val="15"/>
  </w:num>
  <w:num w:numId="30">
    <w:abstractNumId w:val="42"/>
  </w:num>
  <w:num w:numId="31">
    <w:abstractNumId w:val="1"/>
  </w:num>
  <w:num w:numId="32">
    <w:abstractNumId w:val="5"/>
  </w:num>
  <w:num w:numId="33">
    <w:abstractNumId w:val="30"/>
  </w:num>
  <w:num w:numId="34">
    <w:abstractNumId w:val="9"/>
  </w:num>
  <w:num w:numId="35">
    <w:abstractNumId w:val="18"/>
  </w:num>
  <w:num w:numId="36">
    <w:abstractNumId w:val="4"/>
  </w:num>
  <w:num w:numId="37">
    <w:abstractNumId w:val="23"/>
  </w:num>
  <w:num w:numId="38">
    <w:abstractNumId w:val="36"/>
  </w:num>
  <w:num w:numId="39">
    <w:abstractNumId w:val="25"/>
  </w:num>
  <w:num w:numId="40">
    <w:abstractNumId w:val="2"/>
  </w:num>
  <w:num w:numId="41">
    <w:abstractNumId w:val="3"/>
  </w:num>
  <w:num w:numId="42">
    <w:abstractNumId w:val="35"/>
  </w:num>
  <w:num w:numId="43">
    <w:abstractNumId w:val="22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B"/>
    <w:rsid w:val="00004DDA"/>
    <w:rsid w:val="00012B71"/>
    <w:rsid w:val="00012C51"/>
    <w:rsid w:val="00014542"/>
    <w:rsid w:val="00021E41"/>
    <w:rsid w:val="000356B3"/>
    <w:rsid w:val="00057602"/>
    <w:rsid w:val="00067CB5"/>
    <w:rsid w:val="000903DD"/>
    <w:rsid w:val="00094713"/>
    <w:rsid w:val="000A1092"/>
    <w:rsid w:val="000A6F21"/>
    <w:rsid w:val="000B2D9B"/>
    <w:rsid w:val="00174661"/>
    <w:rsid w:val="001C2DA5"/>
    <w:rsid w:val="001D7529"/>
    <w:rsid w:val="00277770"/>
    <w:rsid w:val="002778F7"/>
    <w:rsid w:val="00286C9D"/>
    <w:rsid w:val="002940D7"/>
    <w:rsid w:val="002A0C94"/>
    <w:rsid w:val="002B2E0A"/>
    <w:rsid w:val="002E37F4"/>
    <w:rsid w:val="00393892"/>
    <w:rsid w:val="003A32AC"/>
    <w:rsid w:val="003C145B"/>
    <w:rsid w:val="003F4AC5"/>
    <w:rsid w:val="004047C2"/>
    <w:rsid w:val="00484E35"/>
    <w:rsid w:val="004C223F"/>
    <w:rsid w:val="004E3821"/>
    <w:rsid w:val="00571BB8"/>
    <w:rsid w:val="005A3477"/>
    <w:rsid w:val="005D3416"/>
    <w:rsid w:val="005F7BCA"/>
    <w:rsid w:val="00616411"/>
    <w:rsid w:val="006E5CE7"/>
    <w:rsid w:val="00714CF5"/>
    <w:rsid w:val="00761F42"/>
    <w:rsid w:val="007633CC"/>
    <w:rsid w:val="00770D8B"/>
    <w:rsid w:val="008D30DD"/>
    <w:rsid w:val="0090025A"/>
    <w:rsid w:val="00950CE5"/>
    <w:rsid w:val="00951685"/>
    <w:rsid w:val="00981AD6"/>
    <w:rsid w:val="009956EC"/>
    <w:rsid w:val="009B02FC"/>
    <w:rsid w:val="009C679B"/>
    <w:rsid w:val="00A01EC8"/>
    <w:rsid w:val="00A45ACE"/>
    <w:rsid w:val="00A553D0"/>
    <w:rsid w:val="00AB28D8"/>
    <w:rsid w:val="00B0412A"/>
    <w:rsid w:val="00B3323F"/>
    <w:rsid w:val="00B40B7C"/>
    <w:rsid w:val="00B5225A"/>
    <w:rsid w:val="00C4173B"/>
    <w:rsid w:val="00C928EA"/>
    <w:rsid w:val="00CB0A78"/>
    <w:rsid w:val="00CB3B8E"/>
    <w:rsid w:val="00CE3F66"/>
    <w:rsid w:val="00D01A59"/>
    <w:rsid w:val="00D37BDC"/>
    <w:rsid w:val="00D528BF"/>
    <w:rsid w:val="00D66FD9"/>
    <w:rsid w:val="00D97C60"/>
    <w:rsid w:val="00DA1295"/>
    <w:rsid w:val="00DC60C1"/>
    <w:rsid w:val="00E12EE5"/>
    <w:rsid w:val="00E6003A"/>
    <w:rsid w:val="00E70576"/>
    <w:rsid w:val="00E9618E"/>
    <w:rsid w:val="00EB04B4"/>
    <w:rsid w:val="00EF0535"/>
    <w:rsid w:val="00F01517"/>
    <w:rsid w:val="00F23E34"/>
    <w:rsid w:val="00F568BB"/>
    <w:rsid w:val="00F57620"/>
    <w:rsid w:val="00F66DCC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31">
    <w:name w:val="Tabela siatki 4 — akcent 31"/>
    <w:basedOn w:val="Standardowy"/>
    <w:uiPriority w:val="49"/>
    <w:rsid w:val="009C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9C6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7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79B"/>
    <w:pPr>
      <w:ind w:left="720"/>
      <w:contextualSpacing/>
    </w:pPr>
  </w:style>
  <w:style w:type="numbering" w:customStyle="1" w:styleId="Styl1">
    <w:name w:val="Styl1"/>
    <w:uiPriority w:val="99"/>
    <w:rsid w:val="00A45ACE"/>
    <w:pPr>
      <w:numPr>
        <w:numId w:val="26"/>
      </w:numPr>
    </w:pPr>
  </w:style>
  <w:style w:type="numbering" w:customStyle="1" w:styleId="Styl2">
    <w:name w:val="Styl2"/>
    <w:uiPriority w:val="99"/>
    <w:rsid w:val="00A45ACE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7C"/>
  </w:style>
  <w:style w:type="paragraph" w:styleId="Stopka">
    <w:name w:val="footer"/>
    <w:basedOn w:val="Normalny"/>
    <w:link w:val="Stopka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31">
    <w:name w:val="Tabela siatki 4 — akcent 31"/>
    <w:basedOn w:val="Standardowy"/>
    <w:uiPriority w:val="49"/>
    <w:rsid w:val="009C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9C6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7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79B"/>
    <w:pPr>
      <w:ind w:left="720"/>
      <w:contextualSpacing/>
    </w:pPr>
  </w:style>
  <w:style w:type="numbering" w:customStyle="1" w:styleId="Styl1">
    <w:name w:val="Styl1"/>
    <w:uiPriority w:val="99"/>
    <w:rsid w:val="00A45ACE"/>
    <w:pPr>
      <w:numPr>
        <w:numId w:val="26"/>
      </w:numPr>
    </w:pPr>
  </w:style>
  <w:style w:type="numbering" w:customStyle="1" w:styleId="Styl2">
    <w:name w:val="Styl2"/>
    <w:uiPriority w:val="99"/>
    <w:rsid w:val="00A45ACE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7C"/>
  </w:style>
  <w:style w:type="paragraph" w:styleId="Stopka">
    <w:name w:val="footer"/>
    <w:basedOn w:val="Normalny"/>
    <w:link w:val="Stopka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A1E9-220D-40CD-828A-E7D3452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Próchnicka</dc:creator>
  <cp:lastModifiedBy>Wioletta Marszelewska</cp:lastModifiedBy>
  <cp:revision>14</cp:revision>
  <cp:lastPrinted>2014-10-29T10:14:00Z</cp:lastPrinted>
  <dcterms:created xsi:type="dcterms:W3CDTF">2014-11-06T08:21:00Z</dcterms:created>
  <dcterms:modified xsi:type="dcterms:W3CDTF">2014-11-14T08:01:00Z</dcterms:modified>
</cp:coreProperties>
</file>